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B4DB" w14:textId="77777777" w:rsidR="00470E1C" w:rsidRDefault="00470E1C"/>
    <w:tbl>
      <w:tblPr>
        <w:tblStyle w:val="a5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6022B1" w14:paraId="698ADE00" w14:textId="77777777" w:rsidTr="006022B1">
        <w:tc>
          <w:tcPr>
            <w:tcW w:w="4253" w:type="dxa"/>
          </w:tcPr>
          <w:p w14:paraId="2ADFB20F" w14:textId="77777777" w:rsidR="006022B1" w:rsidRP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14:paraId="5D643D27" w14:textId="5FECB082" w:rsidR="00AA69C5" w:rsidRPr="006022B1" w:rsidRDefault="00AA69C5" w:rsidP="006022B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8F9ABF" w14:textId="77777777" w:rsidR="00E15E3B" w:rsidRDefault="00E15E3B" w:rsidP="00547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отдела </w:t>
      </w:r>
      <w:r w:rsidR="004B7ED1" w:rsidRPr="0089541D">
        <w:rPr>
          <w:b/>
          <w:sz w:val="28"/>
          <w:szCs w:val="28"/>
        </w:rPr>
        <w:t>по вопросам развития потребительского комплекс</w:t>
      </w:r>
      <w:r>
        <w:rPr>
          <w:b/>
          <w:sz w:val="28"/>
          <w:szCs w:val="28"/>
        </w:rPr>
        <w:t>а и предпринимательства</w:t>
      </w:r>
    </w:p>
    <w:p w14:paraId="43309017" w14:textId="01D7B27B" w:rsidR="004B7ED1" w:rsidRPr="0089541D" w:rsidRDefault="004B7ED1" w:rsidP="005472BE">
      <w:pPr>
        <w:jc w:val="center"/>
        <w:rPr>
          <w:b/>
          <w:sz w:val="28"/>
          <w:szCs w:val="28"/>
        </w:rPr>
      </w:pPr>
      <w:r w:rsidRPr="004B7ED1">
        <w:rPr>
          <w:b/>
          <w:sz w:val="28"/>
          <w:szCs w:val="28"/>
        </w:rPr>
        <w:t xml:space="preserve">в Гатчинском муниципальном районе за </w:t>
      </w:r>
      <w:r w:rsidR="00606ADF">
        <w:rPr>
          <w:b/>
          <w:sz w:val="28"/>
          <w:szCs w:val="28"/>
        </w:rPr>
        <w:t xml:space="preserve">1 квартал </w:t>
      </w:r>
      <w:r w:rsidRPr="004B7ED1">
        <w:rPr>
          <w:b/>
          <w:sz w:val="28"/>
          <w:szCs w:val="28"/>
        </w:rPr>
        <w:t>202</w:t>
      </w:r>
      <w:r w:rsidR="00606ADF">
        <w:rPr>
          <w:b/>
          <w:sz w:val="28"/>
          <w:szCs w:val="28"/>
        </w:rPr>
        <w:t>3</w:t>
      </w:r>
      <w:r w:rsidRPr="004B7ED1">
        <w:rPr>
          <w:b/>
          <w:sz w:val="28"/>
          <w:szCs w:val="28"/>
        </w:rPr>
        <w:t xml:space="preserve"> год</w:t>
      </w:r>
      <w:r w:rsidR="00606ADF">
        <w:rPr>
          <w:b/>
          <w:sz w:val="28"/>
          <w:szCs w:val="28"/>
        </w:rPr>
        <w:t>а</w:t>
      </w:r>
    </w:p>
    <w:p w14:paraId="3914A231" w14:textId="77777777" w:rsidR="004B7ED1" w:rsidRPr="0089541D" w:rsidRDefault="004B7ED1" w:rsidP="005472BE">
      <w:pPr>
        <w:ind w:firstLine="540"/>
        <w:jc w:val="center"/>
        <w:rPr>
          <w:b/>
          <w:sz w:val="28"/>
          <w:szCs w:val="28"/>
        </w:rPr>
      </w:pPr>
      <w:r w:rsidRPr="0089541D">
        <w:rPr>
          <w:b/>
          <w:sz w:val="28"/>
          <w:szCs w:val="28"/>
        </w:rPr>
        <w:t>1.Потребительский комплекс.</w:t>
      </w:r>
    </w:p>
    <w:p w14:paraId="679EF17D" w14:textId="77777777" w:rsidR="0071751F" w:rsidRPr="00D4135E" w:rsidRDefault="0071751F" w:rsidP="0071751F">
      <w:pPr>
        <w:ind w:firstLine="708"/>
        <w:jc w:val="both"/>
        <w:rPr>
          <w:color w:val="000000" w:themeColor="text1"/>
          <w:sz w:val="28"/>
          <w:szCs w:val="28"/>
        </w:rPr>
      </w:pPr>
      <w:r w:rsidRPr="00D4135E">
        <w:rPr>
          <w:color w:val="000000" w:themeColor="text1"/>
          <w:sz w:val="28"/>
          <w:szCs w:val="28"/>
        </w:rPr>
        <w:t>Развитие потребительского рынка и сферы услуг ориентировано на удовлетворение спроса населения на потребительские товары и услуги в широком ассортименте, по доступным ценам при гарантированном качестве и безопасности.</w:t>
      </w:r>
    </w:p>
    <w:p w14:paraId="57A33162" w14:textId="77777777" w:rsidR="0071751F" w:rsidRPr="00D4135E" w:rsidRDefault="0071751F" w:rsidP="0071751F">
      <w:pPr>
        <w:ind w:firstLine="708"/>
        <w:jc w:val="both"/>
        <w:rPr>
          <w:color w:val="000000" w:themeColor="text1"/>
          <w:sz w:val="28"/>
          <w:szCs w:val="28"/>
        </w:rPr>
      </w:pPr>
      <w:r w:rsidRPr="00D4135E">
        <w:rPr>
          <w:color w:val="000000" w:themeColor="text1"/>
          <w:sz w:val="28"/>
          <w:szCs w:val="28"/>
        </w:rPr>
        <w:t>Сеть предприятий потребительского рынка представлена предприятиями розничной, оптовой торговли, предприятиями общественного питания и бытового обслуживания.</w:t>
      </w:r>
    </w:p>
    <w:p w14:paraId="2AAA68CD" w14:textId="77777777" w:rsidR="00BB56C1" w:rsidRPr="00D4135E" w:rsidRDefault="00BB56C1" w:rsidP="0071751F">
      <w:pPr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012"/>
        <w:gridCol w:w="1049"/>
        <w:gridCol w:w="974"/>
        <w:gridCol w:w="1012"/>
        <w:gridCol w:w="1140"/>
        <w:gridCol w:w="1398"/>
        <w:gridCol w:w="964"/>
      </w:tblGrid>
      <w:tr w:rsidR="00D4135E" w:rsidRPr="00291550" w14:paraId="2FE56246" w14:textId="77777777" w:rsidTr="00D4135E">
        <w:trPr>
          <w:cantSplit/>
          <w:trHeight w:val="1982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F09" w14:textId="77777777" w:rsidR="0071751F" w:rsidRPr="00291550" w:rsidRDefault="0071751F" w:rsidP="003445C5">
            <w:pPr>
              <w:jc w:val="center"/>
              <w:rPr>
                <w:color w:val="000000" w:themeColor="text1"/>
              </w:rPr>
            </w:pPr>
            <w:r w:rsidRPr="00291550">
              <w:rPr>
                <w:color w:val="000000" w:themeColor="text1"/>
              </w:rPr>
              <w:t>Сферы деятельности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162FCF" w14:textId="77777777" w:rsidR="0071751F" w:rsidRPr="00291550" w:rsidRDefault="0071751F" w:rsidP="003445C5">
            <w:pPr>
              <w:ind w:left="113" w:right="113"/>
              <w:rPr>
                <w:color w:val="000000" w:themeColor="text1"/>
              </w:rPr>
            </w:pPr>
            <w:r w:rsidRPr="00291550">
              <w:rPr>
                <w:color w:val="000000" w:themeColor="text1"/>
              </w:rPr>
              <w:t>Количество объектов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34F57B" w14:textId="77777777" w:rsidR="0071751F" w:rsidRPr="00291550" w:rsidRDefault="0071751F" w:rsidP="003445C5">
            <w:pPr>
              <w:ind w:left="113" w:right="113"/>
              <w:rPr>
                <w:color w:val="000000" w:themeColor="text1"/>
              </w:rPr>
            </w:pPr>
            <w:r w:rsidRPr="00291550">
              <w:rPr>
                <w:color w:val="000000" w:themeColor="text1"/>
              </w:rPr>
              <w:t>Численность работающих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BA755A" w14:textId="77777777" w:rsidR="0071751F" w:rsidRPr="00291550" w:rsidRDefault="0071751F" w:rsidP="003445C5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291550">
              <w:rPr>
                <w:color w:val="000000" w:themeColor="text1"/>
                <w:sz w:val="20"/>
                <w:szCs w:val="20"/>
              </w:rPr>
              <w:t>Введено новых объектов</w:t>
            </w:r>
            <w:r w:rsidR="001979EE" w:rsidRPr="00291550">
              <w:rPr>
                <w:color w:val="000000" w:themeColor="text1"/>
                <w:sz w:val="20"/>
                <w:szCs w:val="20"/>
              </w:rPr>
              <w:t xml:space="preserve"> на вновь открывшихся площадях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34FFB2" w14:textId="77777777" w:rsidR="0071751F" w:rsidRPr="00291550" w:rsidRDefault="0071751F" w:rsidP="003445C5">
            <w:pPr>
              <w:ind w:left="113" w:right="113"/>
              <w:rPr>
                <w:color w:val="000000" w:themeColor="text1"/>
              </w:rPr>
            </w:pPr>
            <w:r w:rsidRPr="00291550">
              <w:rPr>
                <w:color w:val="000000" w:themeColor="text1"/>
              </w:rPr>
              <w:t>Количество субъектов всего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422F32" w14:textId="77777777" w:rsidR="0071751F" w:rsidRPr="00291550" w:rsidRDefault="0071751F" w:rsidP="003445C5">
            <w:pPr>
              <w:ind w:left="113" w:right="113"/>
              <w:rPr>
                <w:color w:val="000000" w:themeColor="text1"/>
              </w:rPr>
            </w:pPr>
            <w:r w:rsidRPr="00291550">
              <w:rPr>
                <w:color w:val="000000" w:themeColor="text1"/>
              </w:rPr>
              <w:t>Количество юридических лиц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1981B6" w14:textId="77777777" w:rsidR="0071751F" w:rsidRPr="00291550" w:rsidRDefault="0071751F" w:rsidP="003445C5">
            <w:pPr>
              <w:ind w:left="113" w:right="113"/>
              <w:rPr>
                <w:color w:val="000000" w:themeColor="text1"/>
              </w:rPr>
            </w:pPr>
            <w:r w:rsidRPr="00291550">
              <w:rPr>
                <w:color w:val="000000" w:themeColor="text1"/>
              </w:rPr>
              <w:t>Количество индивидуальных предпринимателей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1CFFF" w14:textId="77777777" w:rsidR="0071751F" w:rsidRPr="00291550" w:rsidRDefault="0071751F" w:rsidP="003445C5">
            <w:pPr>
              <w:ind w:left="113" w:right="113"/>
              <w:rPr>
                <w:color w:val="000000" w:themeColor="text1"/>
              </w:rPr>
            </w:pPr>
            <w:r w:rsidRPr="00291550">
              <w:rPr>
                <w:color w:val="000000" w:themeColor="text1"/>
              </w:rPr>
              <w:t>Введено новых рабочих мест</w:t>
            </w:r>
          </w:p>
        </w:tc>
      </w:tr>
      <w:tr w:rsidR="008C3D8B" w:rsidRPr="00291550" w14:paraId="67E5CCE2" w14:textId="77777777" w:rsidTr="00D4135E">
        <w:trPr>
          <w:trHeight w:val="302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BFE" w14:textId="77777777" w:rsidR="008C3D8B" w:rsidRPr="00291550" w:rsidRDefault="008C3D8B" w:rsidP="00695493">
            <w:pPr>
              <w:jc w:val="both"/>
              <w:rPr>
                <w:color w:val="000000" w:themeColor="text1"/>
              </w:rPr>
            </w:pPr>
            <w:r w:rsidRPr="00291550">
              <w:rPr>
                <w:color w:val="000000" w:themeColor="text1"/>
              </w:rPr>
              <w:t>Розничная торговля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5A77" w14:textId="7D3DA15E" w:rsidR="008C3D8B" w:rsidRPr="00291550" w:rsidRDefault="00286453" w:rsidP="00695493">
            <w:pPr>
              <w:jc w:val="center"/>
              <w:rPr>
                <w:color w:val="000000" w:themeColor="text1"/>
              </w:rPr>
            </w:pPr>
            <w:r w:rsidRPr="00291550">
              <w:rPr>
                <w:bCs/>
                <w:color w:val="000000" w:themeColor="text1"/>
                <w:lang w:eastAsia="en-US"/>
              </w:rPr>
              <w:t>21</w:t>
            </w:r>
            <w:r w:rsidR="00BC1904" w:rsidRPr="00291550">
              <w:rPr>
                <w:bCs/>
                <w:color w:val="000000" w:themeColor="text1"/>
                <w:lang w:eastAsia="en-US"/>
              </w:rPr>
              <w:t>99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741A" w14:textId="25BCFD78" w:rsidR="008C3D8B" w:rsidRPr="00291550" w:rsidRDefault="008C3D8B" w:rsidP="00737B60">
            <w:pPr>
              <w:jc w:val="center"/>
              <w:rPr>
                <w:color w:val="000000" w:themeColor="text1"/>
              </w:rPr>
            </w:pPr>
            <w:r w:rsidRPr="00291550">
              <w:rPr>
                <w:bCs/>
                <w:color w:val="000000" w:themeColor="text1"/>
                <w:lang w:eastAsia="en-US"/>
              </w:rPr>
              <w:t>89</w:t>
            </w:r>
            <w:r w:rsidR="00737B60" w:rsidRPr="00291550">
              <w:rPr>
                <w:bCs/>
                <w:color w:val="000000" w:themeColor="text1"/>
                <w:lang w:eastAsia="en-US"/>
              </w:rPr>
              <w:t>67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E070" w14:textId="3CA89B0A" w:rsidR="008C3D8B" w:rsidRPr="00291550" w:rsidRDefault="008C3D8B" w:rsidP="00737B60">
            <w:pPr>
              <w:jc w:val="center"/>
              <w:rPr>
                <w:color w:val="000000" w:themeColor="text1"/>
              </w:rPr>
            </w:pPr>
            <w:r w:rsidRPr="00291550">
              <w:rPr>
                <w:bCs/>
                <w:color w:val="000000" w:themeColor="text1"/>
                <w:lang w:eastAsia="en-US"/>
              </w:rPr>
              <w:t>127</w:t>
            </w:r>
            <w:r w:rsidR="00737B60" w:rsidRPr="00291550"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FE1B" w14:textId="77777777" w:rsidR="008C3D8B" w:rsidRPr="00291550" w:rsidRDefault="008C3D8B" w:rsidP="00695493">
            <w:pPr>
              <w:jc w:val="center"/>
              <w:rPr>
                <w:color w:val="000000" w:themeColor="text1"/>
              </w:rPr>
            </w:pPr>
            <w:r w:rsidRPr="00291550">
              <w:rPr>
                <w:bCs/>
                <w:color w:val="000000" w:themeColor="text1"/>
                <w:lang w:eastAsia="en-US"/>
              </w:rPr>
              <w:t>244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2E57" w14:textId="0BFF28CB" w:rsidR="008C3D8B" w:rsidRPr="00291550" w:rsidRDefault="00737B60" w:rsidP="00737B60">
            <w:pPr>
              <w:jc w:val="center"/>
              <w:rPr>
                <w:color w:val="000000" w:themeColor="text1"/>
              </w:rPr>
            </w:pPr>
            <w:r w:rsidRPr="00291550">
              <w:rPr>
                <w:bCs/>
                <w:color w:val="000000" w:themeColor="text1"/>
                <w:lang w:eastAsia="en-US"/>
              </w:rPr>
              <w:t>1029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CC52" w14:textId="3E0B1BB0" w:rsidR="008C3D8B" w:rsidRPr="00291550" w:rsidRDefault="00737B60" w:rsidP="00695493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91550">
              <w:rPr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446C" w14:textId="4BC53115" w:rsidR="008C3D8B" w:rsidRPr="00291550" w:rsidRDefault="00737B60" w:rsidP="00695493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91550">
              <w:rPr>
                <w:bCs/>
                <w:color w:val="000000" w:themeColor="text1"/>
                <w:lang w:eastAsia="en-US"/>
              </w:rPr>
              <w:t>7</w:t>
            </w:r>
          </w:p>
        </w:tc>
      </w:tr>
      <w:tr w:rsidR="004F55C2" w:rsidRPr="00291550" w14:paraId="2FACC32C" w14:textId="77777777" w:rsidTr="00015715">
        <w:trPr>
          <w:trHeight w:val="18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D86F" w14:textId="77777777" w:rsidR="0071751F" w:rsidRPr="00291550" w:rsidRDefault="0071751F" w:rsidP="003445C5">
            <w:pPr>
              <w:jc w:val="both"/>
              <w:rPr>
                <w:b/>
                <w:bCs/>
                <w:color w:val="000000" w:themeColor="text1"/>
              </w:rPr>
            </w:pPr>
            <w:r w:rsidRPr="00291550">
              <w:rPr>
                <w:b/>
                <w:bCs/>
                <w:color w:val="000000" w:themeColor="text1"/>
              </w:rPr>
              <w:t>Общественное питание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0E76" w14:textId="371E42D2" w:rsidR="0071751F" w:rsidRPr="00291550" w:rsidRDefault="00015715" w:rsidP="00840BA5">
            <w:pPr>
              <w:jc w:val="center"/>
              <w:rPr>
                <w:b/>
                <w:bCs/>
                <w:color w:val="000000" w:themeColor="text1"/>
              </w:rPr>
            </w:pPr>
            <w:r w:rsidRPr="00291550">
              <w:rPr>
                <w:b/>
                <w:bCs/>
                <w:color w:val="000000" w:themeColor="text1"/>
              </w:rPr>
              <w:t>27</w:t>
            </w:r>
            <w:r w:rsidR="00840BA5" w:rsidRPr="00291550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B3B0" w14:textId="47A2D18C" w:rsidR="0071751F" w:rsidRPr="00291550" w:rsidRDefault="00015715" w:rsidP="00840BA5">
            <w:pPr>
              <w:jc w:val="center"/>
              <w:rPr>
                <w:b/>
                <w:bCs/>
                <w:color w:val="000000" w:themeColor="text1"/>
              </w:rPr>
            </w:pPr>
            <w:r w:rsidRPr="00291550">
              <w:rPr>
                <w:b/>
                <w:bCs/>
                <w:color w:val="000000" w:themeColor="text1"/>
              </w:rPr>
              <w:t>131</w:t>
            </w:r>
            <w:r w:rsidR="00840BA5" w:rsidRPr="00291550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3337" w14:textId="4EED075B" w:rsidR="0071751F" w:rsidRPr="00291550" w:rsidRDefault="00840BA5" w:rsidP="009F7B2D">
            <w:pPr>
              <w:jc w:val="center"/>
              <w:rPr>
                <w:b/>
                <w:bCs/>
                <w:color w:val="000000" w:themeColor="text1"/>
              </w:rPr>
            </w:pPr>
            <w:r w:rsidRPr="002915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9B60" w14:textId="2D0666B9" w:rsidR="0071751F" w:rsidRPr="00291550" w:rsidRDefault="005446F5" w:rsidP="00840BA5">
            <w:pPr>
              <w:jc w:val="center"/>
              <w:rPr>
                <w:b/>
                <w:bCs/>
                <w:color w:val="000000" w:themeColor="text1"/>
              </w:rPr>
            </w:pPr>
            <w:r w:rsidRPr="00291550">
              <w:rPr>
                <w:b/>
                <w:bCs/>
                <w:color w:val="000000" w:themeColor="text1"/>
              </w:rPr>
              <w:t>20</w:t>
            </w:r>
            <w:r w:rsidR="00840BA5" w:rsidRPr="002915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5E8" w14:textId="27F011CD" w:rsidR="0071751F" w:rsidRPr="00291550" w:rsidRDefault="000414C0" w:rsidP="00840BA5">
            <w:pPr>
              <w:jc w:val="center"/>
              <w:rPr>
                <w:b/>
                <w:bCs/>
                <w:color w:val="000000" w:themeColor="text1"/>
              </w:rPr>
            </w:pPr>
            <w:r w:rsidRPr="00291550">
              <w:rPr>
                <w:b/>
                <w:bCs/>
                <w:color w:val="000000" w:themeColor="text1"/>
              </w:rPr>
              <w:t>6</w:t>
            </w:r>
            <w:r w:rsidR="00840BA5" w:rsidRPr="00291550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42C9" w14:textId="1C5FA092" w:rsidR="0071751F" w:rsidRPr="00291550" w:rsidRDefault="005446F5" w:rsidP="00840BA5">
            <w:pPr>
              <w:jc w:val="center"/>
              <w:rPr>
                <w:b/>
                <w:bCs/>
                <w:color w:val="000000" w:themeColor="text1"/>
              </w:rPr>
            </w:pPr>
            <w:r w:rsidRPr="00291550">
              <w:rPr>
                <w:b/>
                <w:bCs/>
                <w:color w:val="000000" w:themeColor="text1"/>
              </w:rPr>
              <w:t>13</w:t>
            </w:r>
            <w:r w:rsidR="00840BA5" w:rsidRPr="00291550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FC5F" w14:textId="421CE593" w:rsidR="0071751F" w:rsidRPr="00291550" w:rsidRDefault="00840BA5" w:rsidP="009F7B2D">
            <w:pPr>
              <w:jc w:val="center"/>
              <w:rPr>
                <w:b/>
                <w:bCs/>
                <w:color w:val="000000" w:themeColor="text1"/>
              </w:rPr>
            </w:pPr>
            <w:r w:rsidRPr="00291550">
              <w:rPr>
                <w:b/>
                <w:bCs/>
                <w:color w:val="000000" w:themeColor="text1"/>
              </w:rPr>
              <w:t>4</w:t>
            </w:r>
          </w:p>
        </w:tc>
      </w:tr>
      <w:tr w:rsidR="004F55C2" w:rsidRPr="00840BA5" w14:paraId="173CE2DB" w14:textId="77777777" w:rsidTr="00D4135E">
        <w:trPr>
          <w:trHeight w:val="19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FBA" w14:textId="77777777" w:rsidR="0071751F" w:rsidRPr="00291550" w:rsidRDefault="0071751F" w:rsidP="003445C5">
            <w:pPr>
              <w:jc w:val="both"/>
              <w:rPr>
                <w:color w:val="000000" w:themeColor="text1"/>
              </w:rPr>
            </w:pPr>
            <w:r w:rsidRPr="00291550">
              <w:rPr>
                <w:color w:val="000000" w:themeColor="text1"/>
              </w:rPr>
              <w:t>Бытовое обслуживание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A3A6" w14:textId="1D6F01FF" w:rsidR="0071751F" w:rsidRPr="00291550" w:rsidRDefault="001A6D16" w:rsidP="00840BA5">
            <w:pPr>
              <w:jc w:val="center"/>
              <w:rPr>
                <w:color w:val="000000" w:themeColor="text1"/>
                <w:lang w:val="en-US"/>
              </w:rPr>
            </w:pPr>
            <w:r w:rsidRPr="00291550">
              <w:rPr>
                <w:color w:val="000000" w:themeColor="text1"/>
              </w:rPr>
              <w:t>6</w:t>
            </w:r>
            <w:r w:rsidR="00840BA5" w:rsidRPr="00291550">
              <w:rPr>
                <w:color w:val="000000" w:themeColor="text1"/>
              </w:rPr>
              <w:t>57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F02B" w14:textId="09364B72" w:rsidR="0071751F" w:rsidRPr="00291550" w:rsidRDefault="009F7B2D" w:rsidP="00840BA5">
            <w:pPr>
              <w:jc w:val="center"/>
              <w:rPr>
                <w:color w:val="000000" w:themeColor="text1"/>
                <w:lang w:val="en-US"/>
              </w:rPr>
            </w:pPr>
            <w:r w:rsidRPr="00291550">
              <w:rPr>
                <w:color w:val="000000" w:themeColor="text1"/>
              </w:rPr>
              <w:t>2</w:t>
            </w:r>
            <w:r w:rsidR="001A6D16" w:rsidRPr="00291550">
              <w:rPr>
                <w:color w:val="000000" w:themeColor="text1"/>
              </w:rPr>
              <w:t>2</w:t>
            </w:r>
            <w:r w:rsidR="00840BA5" w:rsidRPr="00291550">
              <w:rPr>
                <w:color w:val="000000" w:themeColor="text1"/>
              </w:rPr>
              <w:t>64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8BCB" w14:textId="77777777" w:rsidR="0071751F" w:rsidRPr="00291550" w:rsidRDefault="007A141B" w:rsidP="0046101E">
            <w:pPr>
              <w:jc w:val="center"/>
              <w:rPr>
                <w:color w:val="000000" w:themeColor="text1"/>
                <w:lang w:val="en-US"/>
              </w:rPr>
            </w:pPr>
            <w:r w:rsidRPr="00291550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D358" w14:textId="28938A4B" w:rsidR="0071751F" w:rsidRPr="00291550" w:rsidRDefault="001A6D16" w:rsidP="00840BA5">
            <w:pPr>
              <w:jc w:val="center"/>
              <w:rPr>
                <w:color w:val="000000" w:themeColor="text1"/>
              </w:rPr>
            </w:pPr>
            <w:r w:rsidRPr="00291550">
              <w:rPr>
                <w:color w:val="000000" w:themeColor="text1"/>
              </w:rPr>
              <w:t>53</w:t>
            </w:r>
            <w:r w:rsidR="00840BA5" w:rsidRPr="00291550">
              <w:rPr>
                <w:color w:val="000000" w:themeColor="text1"/>
              </w:rPr>
              <w:t>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C6B0" w14:textId="77777777" w:rsidR="0071751F" w:rsidRPr="00291550" w:rsidRDefault="001A6D16" w:rsidP="007A141B">
            <w:pPr>
              <w:jc w:val="center"/>
              <w:rPr>
                <w:color w:val="000000" w:themeColor="text1"/>
                <w:lang w:val="en-US"/>
              </w:rPr>
            </w:pPr>
            <w:r w:rsidRPr="00291550">
              <w:rPr>
                <w:color w:val="000000" w:themeColor="text1"/>
              </w:rPr>
              <w:t>9</w:t>
            </w:r>
            <w:r w:rsidR="007A141B" w:rsidRPr="00291550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211D" w14:textId="79E0A1F8" w:rsidR="0071751F" w:rsidRPr="00291550" w:rsidRDefault="0071751F" w:rsidP="00840BA5">
            <w:pPr>
              <w:jc w:val="center"/>
              <w:rPr>
                <w:color w:val="000000" w:themeColor="text1"/>
              </w:rPr>
            </w:pPr>
            <w:r w:rsidRPr="00291550">
              <w:rPr>
                <w:color w:val="000000" w:themeColor="text1"/>
              </w:rPr>
              <w:t>4</w:t>
            </w:r>
            <w:r w:rsidR="0046101E" w:rsidRPr="00291550">
              <w:rPr>
                <w:color w:val="000000" w:themeColor="text1"/>
              </w:rPr>
              <w:t>4</w:t>
            </w:r>
            <w:r w:rsidR="00840BA5" w:rsidRPr="00291550">
              <w:rPr>
                <w:color w:val="000000" w:themeColor="text1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FA7A" w14:textId="77777777" w:rsidR="0071751F" w:rsidRPr="00291550" w:rsidRDefault="007A141B" w:rsidP="0046101E">
            <w:pPr>
              <w:jc w:val="center"/>
              <w:rPr>
                <w:color w:val="000000" w:themeColor="text1"/>
                <w:lang w:val="en-US"/>
              </w:rPr>
            </w:pPr>
            <w:r w:rsidRPr="00291550">
              <w:rPr>
                <w:color w:val="000000" w:themeColor="text1"/>
                <w:lang w:val="en-US"/>
              </w:rPr>
              <w:t>0</w:t>
            </w:r>
          </w:p>
        </w:tc>
      </w:tr>
    </w:tbl>
    <w:p w14:paraId="15D79872" w14:textId="77777777" w:rsidR="0071751F" w:rsidRPr="001D582D" w:rsidRDefault="0071751F" w:rsidP="0071751F">
      <w:pPr>
        <w:ind w:firstLine="567"/>
        <w:jc w:val="both"/>
        <w:rPr>
          <w:sz w:val="28"/>
          <w:szCs w:val="28"/>
        </w:rPr>
      </w:pPr>
      <w:r w:rsidRPr="00D4135E">
        <w:rPr>
          <w:color w:val="000000" w:themeColor="text1"/>
          <w:sz w:val="28"/>
          <w:szCs w:val="28"/>
        </w:rPr>
        <w:t xml:space="preserve">Развитию рынка способствует оснащение предприятий новым технологическим оборудованием, совершенствование производства, применение прогрессивных форм и методов обслуживания, открытие новых </w:t>
      </w:r>
      <w:r w:rsidRPr="001D582D">
        <w:rPr>
          <w:sz w:val="28"/>
          <w:szCs w:val="28"/>
        </w:rPr>
        <w:t>объектов.</w:t>
      </w:r>
    </w:p>
    <w:p w14:paraId="0AFFF953" w14:textId="77777777" w:rsidR="0071751F" w:rsidRDefault="0071751F" w:rsidP="0071751F">
      <w:pPr>
        <w:ind w:firstLine="567"/>
        <w:jc w:val="both"/>
        <w:rPr>
          <w:sz w:val="28"/>
          <w:szCs w:val="28"/>
        </w:rPr>
      </w:pPr>
      <w:r w:rsidRPr="00291550">
        <w:rPr>
          <w:sz w:val="28"/>
          <w:szCs w:val="28"/>
        </w:rPr>
        <w:t xml:space="preserve">Важным элементом комфортной потребительской среды являются торговые центры (комплексы). На территории района функционируют 48 торгово-развлекательных комплекса и центра, </w:t>
      </w:r>
      <w:r w:rsidRPr="00291550">
        <w:rPr>
          <w:sz w:val="28"/>
          <w:szCs w:val="28"/>
          <w:lang w:val="en-US"/>
        </w:rPr>
        <w:t>c</w:t>
      </w:r>
      <w:r w:rsidRPr="00291550">
        <w:rPr>
          <w:sz w:val="28"/>
          <w:szCs w:val="28"/>
        </w:rPr>
        <w:t xml:space="preserve"> общей торговой площадью 128186,0 кв.м.</w:t>
      </w:r>
    </w:p>
    <w:p w14:paraId="5E43B164" w14:textId="77777777" w:rsidR="00291550" w:rsidRPr="001D582D" w:rsidRDefault="00291550" w:rsidP="0071751F">
      <w:pPr>
        <w:ind w:firstLine="567"/>
        <w:jc w:val="both"/>
        <w:rPr>
          <w:sz w:val="28"/>
          <w:szCs w:val="28"/>
        </w:rPr>
      </w:pPr>
    </w:p>
    <w:p w14:paraId="190CA991" w14:textId="3FB2150B" w:rsidR="00C419E4" w:rsidRDefault="00291550" w:rsidP="00291550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DE2BC7" wp14:editId="75637A0F">
            <wp:extent cx="5924550" cy="3826510"/>
            <wp:effectExtent l="0" t="0" r="0" b="2540"/>
            <wp:docPr id="13717112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2B04E05-43EC-4B2D-B930-3AEB977231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CAFBB93" w14:textId="77777777" w:rsidR="001D582D" w:rsidRPr="001D582D" w:rsidRDefault="001D582D" w:rsidP="0071751F">
      <w:pPr>
        <w:ind w:firstLine="567"/>
        <w:jc w:val="both"/>
        <w:rPr>
          <w:sz w:val="28"/>
          <w:szCs w:val="28"/>
        </w:rPr>
      </w:pPr>
    </w:p>
    <w:p w14:paraId="6CBBCC91" w14:textId="10619308" w:rsidR="008C3D8B" w:rsidRPr="008C3D8B" w:rsidRDefault="008C3D8B" w:rsidP="008C3D8B">
      <w:pPr>
        <w:ind w:firstLine="567"/>
        <w:jc w:val="both"/>
        <w:rPr>
          <w:sz w:val="28"/>
          <w:szCs w:val="28"/>
        </w:rPr>
      </w:pPr>
      <w:r w:rsidRPr="008C3D8B">
        <w:rPr>
          <w:sz w:val="28"/>
          <w:szCs w:val="28"/>
        </w:rPr>
        <w:t>По предварительным данным на 01.</w:t>
      </w:r>
      <w:r>
        <w:rPr>
          <w:sz w:val="28"/>
          <w:szCs w:val="28"/>
        </w:rPr>
        <w:t>0</w:t>
      </w:r>
      <w:r w:rsidR="00606ADF">
        <w:rPr>
          <w:sz w:val="28"/>
          <w:szCs w:val="28"/>
        </w:rPr>
        <w:t>4</w:t>
      </w:r>
      <w:r w:rsidRPr="008C3D8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C3D8B">
        <w:rPr>
          <w:sz w:val="28"/>
          <w:szCs w:val="28"/>
        </w:rPr>
        <w:t xml:space="preserve"> г. на территории Гатчинского района осуществляют деятельность:</w:t>
      </w:r>
    </w:p>
    <w:p w14:paraId="7BA3D287" w14:textId="2639441C" w:rsidR="008C3D8B" w:rsidRPr="00291550" w:rsidRDefault="008C3D8B" w:rsidP="008C3D8B">
      <w:pPr>
        <w:ind w:firstLine="567"/>
        <w:jc w:val="both"/>
        <w:rPr>
          <w:sz w:val="28"/>
          <w:szCs w:val="28"/>
        </w:rPr>
      </w:pPr>
      <w:r w:rsidRPr="00291550">
        <w:rPr>
          <w:sz w:val="28"/>
          <w:szCs w:val="28"/>
        </w:rPr>
        <w:t>- 21</w:t>
      </w:r>
      <w:r w:rsidR="00286453" w:rsidRPr="00291550">
        <w:rPr>
          <w:sz w:val="28"/>
          <w:szCs w:val="28"/>
        </w:rPr>
        <w:t>6</w:t>
      </w:r>
      <w:r w:rsidRPr="00291550">
        <w:rPr>
          <w:sz w:val="28"/>
          <w:szCs w:val="28"/>
        </w:rPr>
        <w:t xml:space="preserve"> сетей в </w:t>
      </w:r>
      <w:r w:rsidR="00286453" w:rsidRPr="00291550">
        <w:rPr>
          <w:sz w:val="28"/>
          <w:szCs w:val="28"/>
        </w:rPr>
        <w:t>702</w:t>
      </w:r>
      <w:r w:rsidRPr="00291550">
        <w:rPr>
          <w:sz w:val="28"/>
          <w:szCs w:val="28"/>
        </w:rPr>
        <w:t xml:space="preserve"> предприятиях розничной торговли,</w:t>
      </w:r>
    </w:p>
    <w:p w14:paraId="56D08EFC" w14:textId="14DB41A6" w:rsidR="0071751F" w:rsidRPr="00291550" w:rsidRDefault="0071751F" w:rsidP="0071751F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91550">
        <w:rPr>
          <w:b/>
          <w:bCs/>
          <w:color w:val="000000" w:themeColor="text1"/>
          <w:sz w:val="28"/>
          <w:szCs w:val="28"/>
        </w:rPr>
        <w:t>- 2</w:t>
      </w:r>
      <w:r w:rsidR="00FB4C96" w:rsidRPr="00291550">
        <w:rPr>
          <w:b/>
          <w:bCs/>
          <w:color w:val="000000" w:themeColor="text1"/>
          <w:sz w:val="28"/>
          <w:szCs w:val="28"/>
        </w:rPr>
        <w:t>7</w:t>
      </w:r>
      <w:r w:rsidRPr="00291550">
        <w:rPr>
          <w:b/>
          <w:bCs/>
          <w:color w:val="000000" w:themeColor="text1"/>
          <w:sz w:val="28"/>
          <w:szCs w:val="28"/>
        </w:rPr>
        <w:t xml:space="preserve"> сетей в </w:t>
      </w:r>
      <w:r w:rsidR="00FB4C96" w:rsidRPr="00291550">
        <w:rPr>
          <w:b/>
          <w:bCs/>
          <w:color w:val="000000" w:themeColor="text1"/>
          <w:sz w:val="28"/>
          <w:szCs w:val="28"/>
        </w:rPr>
        <w:t>42</w:t>
      </w:r>
      <w:r w:rsidRPr="00291550">
        <w:rPr>
          <w:b/>
          <w:bCs/>
          <w:color w:val="000000" w:themeColor="text1"/>
          <w:sz w:val="28"/>
          <w:szCs w:val="28"/>
        </w:rPr>
        <w:t xml:space="preserve"> предприятиях общественного питания открытой сети</w:t>
      </w:r>
    </w:p>
    <w:p w14:paraId="1A0A42D3" w14:textId="77777777" w:rsidR="00C419E4" w:rsidRPr="00291550" w:rsidRDefault="00C419E4" w:rsidP="0071751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1337"/>
        <w:gridCol w:w="1338"/>
        <w:gridCol w:w="1308"/>
      </w:tblGrid>
      <w:tr w:rsidR="00B714E2" w:rsidRPr="00291550" w14:paraId="491E1275" w14:textId="77777777" w:rsidTr="003445C5">
        <w:tc>
          <w:tcPr>
            <w:tcW w:w="5555" w:type="dxa"/>
          </w:tcPr>
          <w:p w14:paraId="16B25400" w14:textId="77777777" w:rsidR="00B714E2" w:rsidRPr="00291550" w:rsidRDefault="00B714E2" w:rsidP="00695493">
            <w:pPr>
              <w:jc w:val="both"/>
              <w:rPr>
                <w:noProof/>
                <w:color w:val="000000" w:themeColor="text1"/>
              </w:rPr>
            </w:pPr>
            <w:r w:rsidRPr="00291550">
              <w:rPr>
                <w:noProof/>
                <w:color w:val="000000" w:themeColor="text1"/>
              </w:rPr>
              <w:t>Наименование показателя</w:t>
            </w:r>
          </w:p>
        </w:tc>
        <w:tc>
          <w:tcPr>
            <w:tcW w:w="1339" w:type="dxa"/>
          </w:tcPr>
          <w:p w14:paraId="524D3215" w14:textId="159A15CE" w:rsidR="00B714E2" w:rsidRPr="00291550" w:rsidRDefault="00B714E2" w:rsidP="00606ADF">
            <w:pPr>
              <w:jc w:val="both"/>
              <w:rPr>
                <w:noProof/>
                <w:color w:val="000000" w:themeColor="text1"/>
              </w:rPr>
            </w:pPr>
            <w:r w:rsidRPr="00291550">
              <w:rPr>
                <w:noProof/>
                <w:color w:val="000000" w:themeColor="text1"/>
              </w:rPr>
              <w:t>на 01.0</w:t>
            </w:r>
            <w:r w:rsidR="00606ADF" w:rsidRPr="00291550">
              <w:rPr>
                <w:noProof/>
                <w:color w:val="000000" w:themeColor="text1"/>
              </w:rPr>
              <w:t>4</w:t>
            </w:r>
            <w:r w:rsidRPr="00291550">
              <w:rPr>
                <w:noProof/>
                <w:color w:val="000000" w:themeColor="text1"/>
              </w:rPr>
              <w:t>.2022 год</w:t>
            </w:r>
          </w:p>
        </w:tc>
        <w:tc>
          <w:tcPr>
            <w:tcW w:w="1340" w:type="dxa"/>
          </w:tcPr>
          <w:p w14:paraId="76871E4D" w14:textId="5813A7B1" w:rsidR="00B714E2" w:rsidRPr="00291550" w:rsidRDefault="00B714E2" w:rsidP="00606ADF">
            <w:pPr>
              <w:jc w:val="both"/>
              <w:rPr>
                <w:noProof/>
                <w:color w:val="000000" w:themeColor="text1"/>
              </w:rPr>
            </w:pPr>
            <w:r w:rsidRPr="00291550">
              <w:rPr>
                <w:noProof/>
                <w:color w:val="000000" w:themeColor="text1"/>
              </w:rPr>
              <w:t>01.0</w:t>
            </w:r>
            <w:r w:rsidR="00606ADF" w:rsidRPr="00291550">
              <w:rPr>
                <w:noProof/>
                <w:color w:val="000000" w:themeColor="text1"/>
              </w:rPr>
              <w:t>4</w:t>
            </w:r>
            <w:r w:rsidRPr="00291550">
              <w:rPr>
                <w:noProof/>
                <w:color w:val="000000" w:themeColor="text1"/>
              </w:rPr>
              <w:t>.2023 год</w:t>
            </w:r>
          </w:p>
        </w:tc>
        <w:tc>
          <w:tcPr>
            <w:tcW w:w="1337" w:type="dxa"/>
          </w:tcPr>
          <w:p w14:paraId="38A26589" w14:textId="77777777" w:rsidR="00B714E2" w:rsidRPr="00291550" w:rsidRDefault="00B714E2" w:rsidP="00695493">
            <w:pPr>
              <w:jc w:val="both"/>
              <w:rPr>
                <w:noProof/>
                <w:color w:val="000000" w:themeColor="text1"/>
              </w:rPr>
            </w:pPr>
            <w:r w:rsidRPr="00291550">
              <w:rPr>
                <w:noProof/>
                <w:color w:val="000000" w:themeColor="text1"/>
              </w:rPr>
              <w:t>% роста</w:t>
            </w:r>
          </w:p>
        </w:tc>
      </w:tr>
      <w:tr w:rsidR="00606ADF" w:rsidRPr="00291550" w14:paraId="5519399D" w14:textId="77777777" w:rsidTr="003445C5">
        <w:tc>
          <w:tcPr>
            <w:tcW w:w="5555" w:type="dxa"/>
          </w:tcPr>
          <w:p w14:paraId="21B6FC9B" w14:textId="77777777" w:rsidR="00606ADF" w:rsidRPr="00291550" w:rsidRDefault="00606ADF" w:rsidP="00695493">
            <w:pPr>
              <w:jc w:val="both"/>
              <w:rPr>
                <w:noProof/>
                <w:color w:val="000000" w:themeColor="text1"/>
              </w:rPr>
            </w:pPr>
            <w:r w:rsidRPr="00291550">
              <w:rPr>
                <w:noProof/>
                <w:color w:val="000000" w:themeColor="text1"/>
              </w:rPr>
              <w:t>Количество сетей розничной торговли, ед.</w:t>
            </w:r>
          </w:p>
        </w:tc>
        <w:tc>
          <w:tcPr>
            <w:tcW w:w="1339" w:type="dxa"/>
            <w:vAlign w:val="center"/>
          </w:tcPr>
          <w:p w14:paraId="04058195" w14:textId="2544148E" w:rsidR="00606ADF" w:rsidRPr="00291550" w:rsidRDefault="00606ADF" w:rsidP="00695493">
            <w:pPr>
              <w:jc w:val="center"/>
              <w:rPr>
                <w:noProof/>
                <w:color w:val="000000" w:themeColor="text1"/>
              </w:rPr>
            </w:pPr>
            <w:r w:rsidRPr="00291550">
              <w:rPr>
                <w:noProof/>
                <w:lang w:eastAsia="en-US"/>
              </w:rPr>
              <w:t>204</w:t>
            </w:r>
          </w:p>
        </w:tc>
        <w:tc>
          <w:tcPr>
            <w:tcW w:w="1340" w:type="dxa"/>
            <w:vAlign w:val="center"/>
          </w:tcPr>
          <w:p w14:paraId="6248D83D" w14:textId="77CE346C" w:rsidR="00606ADF" w:rsidRPr="00291550" w:rsidRDefault="00606ADF" w:rsidP="00286453">
            <w:pPr>
              <w:jc w:val="center"/>
              <w:rPr>
                <w:noProof/>
                <w:color w:val="000000" w:themeColor="text1"/>
                <w:lang w:eastAsia="en-US"/>
              </w:rPr>
            </w:pPr>
            <w:r w:rsidRPr="00291550">
              <w:rPr>
                <w:noProof/>
                <w:color w:val="000000" w:themeColor="text1"/>
                <w:lang w:eastAsia="en-US"/>
              </w:rPr>
              <w:t>21</w:t>
            </w:r>
            <w:r w:rsidR="00286453" w:rsidRPr="00291550">
              <w:rPr>
                <w:noProof/>
                <w:color w:val="000000" w:themeColor="text1"/>
                <w:lang w:eastAsia="en-US"/>
              </w:rPr>
              <w:t>6</w:t>
            </w:r>
          </w:p>
        </w:tc>
        <w:tc>
          <w:tcPr>
            <w:tcW w:w="1337" w:type="dxa"/>
            <w:vAlign w:val="center"/>
          </w:tcPr>
          <w:p w14:paraId="1F9C9552" w14:textId="3A1145D6" w:rsidR="00606ADF" w:rsidRPr="00291550" w:rsidRDefault="00606ADF" w:rsidP="00286453">
            <w:pPr>
              <w:jc w:val="center"/>
              <w:rPr>
                <w:noProof/>
                <w:color w:val="000000" w:themeColor="text1"/>
              </w:rPr>
            </w:pPr>
            <w:r w:rsidRPr="00291550">
              <w:rPr>
                <w:noProof/>
                <w:color w:val="000000" w:themeColor="text1"/>
                <w:lang w:eastAsia="en-US"/>
              </w:rPr>
              <w:t>10</w:t>
            </w:r>
            <w:r w:rsidR="00286453" w:rsidRPr="00291550">
              <w:rPr>
                <w:noProof/>
                <w:color w:val="000000" w:themeColor="text1"/>
                <w:lang w:eastAsia="en-US"/>
              </w:rPr>
              <w:t>5</w:t>
            </w:r>
            <w:r w:rsidRPr="00291550">
              <w:rPr>
                <w:noProof/>
                <w:color w:val="000000" w:themeColor="text1"/>
                <w:lang w:eastAsia="en-US"/>
              </w:rPr>
              <w:t>,</w:t>
            </w:r>
            <w:r w:rsidR="00286453" w:rsidRPr="00291550">
              <w:rPr>
                <w:noProof/>
                <w:color w:val="000000" w:themeColor="text1"/>
                <w:lang w:eastAsia="en-US"/>
              </w:rPr>
              <w:t>9</w:t>
            </w:r>
            <w:r w:rsidRPr="00291550">
              <w:rPr>
                <w:noProof/>
                <w:color w:val="000000" w:themeColor="text1"/>
                <w:lang w:eastAsia="en-US"/>
              </w:rPr>
              <w:t xml:space="preserve"> %</w:t>
            </w:r>
          </w:p>
        </w:tc>
      </w:tr>
      <w:tr w:rsidR="00606ADF" w:rsidRPr="00291550" w14:paraId="27DC4ECF" w14:textId="77777777" w:rsidTr="003445C5">
        <w:tc>
          <w:tcPr>
            <w:tcW w:w="5555" w:type="dxa"/>
          </w:tcPr>
          <w:p w14:paraId="43C4192C" w14:textId="77777777" w:rsidR="00606ADF" w:rsidRPr="00291550" w:rsidRDefault="00606ADF" w:rsidP="00695493">
            <w:pPr>
              <w:jc w:val="both"/>
              <w:rPr>
                <w:noProof/>
                <w:color w:val="000000" w:themeColor="text1"/>
              </w:rPr>
            </w:pPr>
            <w:r w:rsidRPr="00291550">
              <w:rPr>
                <w:noProof/>
                <w:color w:val="000000" w:themeColor="text1"/>
              </w:rPr>
              <w:t>Количество сетевых магазинов розничной торговли, ед.</w:t>
            </w:r>
          </w:p>
        </w:tc>
        <w:tc>
          <w:tcPr>
            <w:tcW w:w="1339" w:type="dxa"/>
            <w:vAlign w:val="center"/>
          </w:tcPr>
          <w:p w14:paraId="55067E5B" w14:textId="75BE1981" w:rsidR="00606ADF" w:rsidRPr="00291550" w:rsidRDefault="00606ADF" w:rsidP="00695493">
            <w:pPr>
              <w:jc w:val="center"/>
              <w:rPr>
                <w:noProof/>
                <w:color w:val="000000" w:themeColor="text1"/>
              </w:rPr>
            </w:pPr>
            <w:r w:rsidRPr="00291550">
              <w:rPr>
                <w:noProof/>
                <w:lang w:eastAsia="en-US"/>
              </w:rPr>
              <w:t>637</w:t>
            </w:r>
          </w:p>
        </w:tc>
        <w:tc>
          <w:tcPr>
            <w:tcW w:w="1340" w:type="dxa"/>
            <w:vAlign w:val="center"/>
          </w:tcPr>
          <w:p w14:paraId="752A4CEF" w14:textId="231DC8FC" w:rsidR="00606ADF" w:rsidRPr="00291550" w:rsidRDefault="00BC1904" w:rsidP="00695493">
            <w:pPr>
              <w:jc w:val="center"/>
              <w:rPr>
                <w:noProof/>
                <w:color w:val="000000" w:themeColor="text1"/>
              </w:rPr>
            </w:pPr>
            <w:r w:rsidRPr="00291550">
              <w:rPr>
                <w:noProof/>
                <w:color w:val="000000" w:themeColor="text1"/>
                <w:lang w:eastAsia="en-US"/>
              </w:rPr>
              <w:t>702</w:t>
            </w:r>
          </w:p>
        </w:tc>
        <w:tc>
          <w:tcPr>
            <w:tcW w:w="1337" w:type="dxa"/>
            <w:vAlign w:val="center"/>
          </w:tcPr>
          <w:p w14:paraId="72D671E5" w14:textId="20C83612" w:rsidR="00606ADF" w:rsidRPr="00291550" w:rsidRDefault="00286453" w:rsidP="00286453">
            <w:pPr>
              <w:jc w:val="center"/>
              <w:rPr>
                <w:noProof/>
                <w:color w:val="000000" w:themeColor="text1"/>
              </w:rPr>
            </w:pPr>
            <w:r w:rsidRPr="00291550">
              <w:rPr>
                <w:noProof/>
                <w:color w:val="000000" w:themeColor="text1"/>
                <w:lang w:eastAsia="en-US"/>
              </w:rPr>
              <w:t>110,2</w:t>
            </w:r>
            <w:r w:rsidR="00606ADF" w:rsidRPr="00291550">
              <w:rPr>
                <w:noProof/>
                <w:color w:val="000000" w:themeColor="text1"/>
                <w:lang w:eastAsia="en-US"/>
              </w:rPr>
              <w:t xml:space="preserve"> %</w:t>
            </w:r>
          </w:p>
        </w:tc>
      </w:tr>
      <w:tr w:rsidR="00606ADF" w:rsidRPr="00291550" w14:paraId="1AE1FF57" w14:textId="77777777" w:rsidTr="003445C5">
        <w:tc>
          <w:tcPr>
            <w:tcW w:w="5555" w:type="dxa"/>
          </w:tcPr>
          <w:p w14:paraId="49C83556" w14:textId="77777777" w:rsidR="00606ADF" w:rsidRPr="00291550" w:rsidRDefault="00606ADF" w:rsidP="00C419E4">
            <w:pPr>
              <w:jc w:val="both"/>
              <w:rPr>
                <w:noProof/>
              </w:rPr>
            </w:pPr>
            <w:r w:rsidRPr="00291550">
              <w:rPr>
                <w:noProof/>
              </w:rPr>
              <w:t>Количество сетей  общественного питания, ед.</w:t>
            </w:r>
          </w:p>
        </w:tc>
        <w:tc>
          <w:tcPr>
            <w:tcW w:w="1339" w:type="dxa"/>
            <w:vAlign w:val="center"/>
          </w:tcPr>
          <w:p w14:paraId="20B311CA" w14:textId="31CFDA9F" w:rsidR="00606ADF" w:rsidRPr="00291550" w:rsidRDefault="00606ADF" w:rsidP="00C868B9">
            <w:pPr>
              <w:jc w:val="center"/>
              <w:rPr>
                <w:b/>
                <w:bCs/>
                <w:noProof/>
              </w:rPr>
            </w:pPr>
            <w:r w:rsidRPr="00291550">
              <w:rPr>
                <w:noProof/>
                <w:lang w:eastAsia="en-US"/>
              </w:rPr>
              <w:t>28</w:t>
            </w:r>
          </w:p>
        </w:tc>
        <w:tc>
          <w:tcPr>
            <w:tcW w:w="1340" w:type="dxa"/>
            <w:vAlign w:val="center"/>
          </w:tcPr>
          <w:p w14:paraId="10BE3B4B" w14:textId="5547EE9C" w:rsidR="00606ADF" w:rsidRPr="00291550" w:rsidRDefault="00606ADF" w:rsidP="00FB4C96">
            <w:pPr>
              <w:jc w:val="center"/>
              <w:rPr>
                <w:b/>
                <w:bCs/>
                <w:noProof/>
              </w:rPr>
            </w:pPr>
            <w:r w:rsidRPr="00291550">
              <w:rPr>
                <w:b/>
                <w:bCs/>
                <w:noProof/>
                <w:lang w:eastAsia="en-US"/>
              </w:rPr>
              <w:t>2</w:t>
            </w:r>
            <w:r w:rsidR="00FB4C96" w:rsidRPr="00291550">
              <w:rPr>
                <w:b/>
                <w:bCs/>
                <w:noProof/>
                <w:lang w:eastAsia="en-US"/>
              </w:rPr>
              <w:t>7</w:t>
            </w:r>
          </w:p>
        </w:tc>
        <w:tc>
          <w:tcPr>
            <w:tcW w:w="1337" w:type="dxa"/>
            <w:vAlign w:val="center"/>
          </w:tcPr>
          <w:p w14:paraId="6CF5559B" w14:textId="09E53465" w:rsidR="00606ADF" w:rsidRPr="00291550" w:rsidRDefault="00FB4C96" w:rsidP="00C868B9">
            <w:pPr>
              <w:jc w:val="center"/>
              <w:rPr>
                <w:b/>
                <w:bCs/>
                <w:noProof/>
              </w:rPr>
            </w:pPr>
            <w:r w:rsidRPr="00291550">
              <w:rPr>
                <w:b/>
                <w:bCs/>
                <w:noProof/>
                <w:lang w:eastAsia="en-US"/>
              </w:rPr>
              <w:t>97</w:t>
            </w:r>
            <w:r w:rsidR="00606ADF" w:rsidRPr="00291550">
              <w:rPr>
                <w:b/>
                <w:bCs/>
                <w:noProof/>
                <w:lang w:eastAsia="en-US"/>
              </w:rPr>
              <w:t xml:space="preserve"> %</w:t>
            </w:r>
          </w:p>
        </w:tc>
      </w:tr>
      <w:tr w:rsidR="00606ADF" w:rsidRPr="00FB4C96" w14:paraId="4FEBE77B" w14:textId="77777777" w:rsidTr="003445C5">
        <w:tc>
          <w:tcPr>
            <w:tcW w:w="5555" w:type="dxa"/>
          </w:tcPr>
          <w:p w14:paraId="6B0D72F6" w14:textId="77777777" w:rsidR="00606ADF" w:rsidRPr="00291550" w:rsidRDefault="00606ADF" w:rsidP="00C419E4">
            <w:pPr>
              <w:jc w:val="both"/>
              <w:rPr>
                <w:noProof/>
              </w:rPr>
            </w:pPr>
            <w:r w:rsidRPr="00291550">
              <w:rPr>
                <w:noProof/>
              </w:rPr>
              <w:t>Количество сетевых предприятий общественного питания, ед.</w:t>
            </w:r>
          </w:p>
        </w:tc>
        <w:tc>
          <w:tcPr>
            <w:tcW w:w="1339" w:type="dxa"/>
            <w:vAlign w:val="center"/>
          </w:tcPr>
          <w:p w14:paraId="7E0036B5" w14:textId="1AD3BBF6" w:rsidR="00606ADF" w:rsidRPr="00291550" w:rsidRDefault="00606ADF" w:rsidP="00C868B9">
            <w:pPr>
              <w:jc w:val="center"/>
              <w:rPr>
                <w:b/>
                <w:bCs/>
                <w:noProof/>
              </w:rPr>
            </w:pPr>
            <w:r w:rsidRPr="00291550">
              <w:rPr>
                <w:noProof/>
                <w:lang w:eastAsia="en-US"/>
              </w:rPr>
              <w:t>39</w:t>
            </w:r>
          </w:p>
        </w:tc>
        <w:tc>
          <w:tcPr>
            <w:tcW w:w="1340" w:type="dxa"/>
            <w:vAlign w:val="center"/>
          </w:tcPr>
          <w:p w14:paraId="693FBAF5" w14:textId="7FD044DB" w:rsidR="00606ADF" w:rsidRPr="00291550" w:rsidRDefault="00FB4C96" w:rsidP="00C419E4">
            <w:pPr>
              <w:jc w:val="center"/>
              <w:rPr>
                <w:b/>
                <w:bCs/>
                <w:noProof/>
              </w:rPr>
            </w:pPr>
            <w:r w:rsidRPr="00291550">
              <w:rPr>
                <w:b/>
                <w:bCs/>
                <w:noProof/>
                <w:lang w:eastAsia="en-US"/>
              </w:rPr>
              <w:t>42</w:t>
            </w:r>
          </w:p>
        </w:tc>
        <w:tc>
          <w:tcPr>
            <w:tcW w:w="1337" w:type="dxa"/>
            <w:vAlign w:val="center"/>
          </w:tcPr>
          <w:p w14:paraId="4CF436EC" w14:textId="51A7D834" w:rsidR="00606ADF" w:rsidRPr="00291550" w:rsidRDefault="00606ADF" w:rsidP="00FB4C96">
            <w:pPr>
              <w:jc w:val="center"/>
              <w:rPr>
                <w:b/>
                <w:bCs/>
                <w:noProof/>
              </w:rPr>
            </w:pPr>
            <w:r w:rsidRPr="00291550">
              <w:rPr>
                <w:b/>
                <w:bCs/>
                <w:noProof/>
                <w:lang w:eastAsia="en-US"/>
              </w:rPr>
              <w:t>10</w:t>
            </w:r>
            <w:r w:rsidR="00FB4C96" w:rsidRPr="00291550">
              <w:rPr>
                <w:b/>
                <w:bCs/>
                <w:noProof/>
                <w:lang w:eastAsia="en-US"/>
              </w:rPr>
              <w:t>8</w:t>
            </w:r>
            <w:r w:rsidRPr="00291550">
              <w:rPr>
                <w:b/>
                <w:bCs/>
                <w:noProof/>
                <w:lang w:eastAsia="en-US"/>
              </w:rPr>
              <w:t xml:space="preserve"> %</w:t>
            </w:r>
          </w:p>
        </w:tc>
      </w:tr>
    </w:tbl>
    <w:p w14:paraId="281C3B2B" w14:textId="77777777" w:rsidR="0071751F" w:rsidRDefault="0071751F" w:rsidP="0071751F">
      <w:pPr>
        <w:ind w:firstLine="567"/>
        <w:jc w:val="both"/>
        <w:rPr>
          <w:noProof/>
          <w:sz w:val="28"/>
          <w:szCs w:val="28"/>
        </w:rPr>
      </w:pPr>
    </w:p>
    <w:p w14:paraId="564C75B7" w14:textId="11737E22" w:rsidR="004E53FF" w:rsidRDefault="004E53FF" w:rsidP="004E53FF">
      <w:pPr>
        <w:jc w:val="both"/>
        <w:rPr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DF932C" wp14:editId="6B8FE404">
            <wp:extent cx="2933700" cy="2743200"/>
            <wp:effectExtent l="0" t="0" r="0" b="0"/>
            <wp:docPr id="127002177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D54C10F-84C6-44D4-A5DA-32DF0C7278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BAA756" wp14:editId="324BBBA6">
            <wp:extent cx="2867025" cy="2743200"/>
            <wp:effectExtent l="0" t="0" r="9525" b="0"/>
            <wp:docPr id="90130998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434C50A-2EDD-4724-A679-B30FD14753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3A1FDB" w14:textId="77777777" w:rsidR="004E53FF" w:rsidRDefault="004E53FF" w:rsidP="001D582D">
      <w:pPr>
        <w:jc w:val="both"/>
        <w:rPr>
          <w:noProof/>
        </w:rPr>
      </w:pPr>
    </w:p>
    <w:p w14:paraId="6F0E0E15" w14:textId="77777777" w:rsidR="004E53FF" w:rsidRDefault="004E53FF" w:rsidP="001D582D">
      <w:pPr>
        <w:jc w:val="both"/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577F05" w:rsidRPr="00D4135E" w14:paraId="7965A78D" w14:textId="77777777" w:rsidTr="003445C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E1E6" w14:textId="53873575" w:rsidR="00577F05" w:rsidRPr="00577F05" w:rsidRDefault="00F82884" w:rsidP="00025628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>
              <w:rPr>
                <w:noProof/>
              </w:rPr>
              <w:t xml:space="preserve"> </w:t>
            </w:r>
            <w:r w:rsidR="00577F05" w:rsidRPr="00577F05">
              <w:rPr>
                <w:noProof/>
                <w:color w:val="000000" w:themeColor="text1"/>
                <w:lang w:eastAsia="en-US"/>
              </w:rPr>
              <w:t>Торговая площадь объектов  на 01.0</w:t>
            </w:r>
            <w:r w:rsidR="00025628">
              <w:rPr>
                <w:noProof/>
                <w:color w:val="000000" w:themeColor="text1"/>
                <w:lang w:eastAsia="en-US"/>
              </w:rPr>
              <w:t>4</w:t>
            </w:r>
            <w:r w:rsidR="00577F05" w:rsidRPr="00577F05">
              <w:rPr>
                <w:noProof/>
                <w:color w:val="000000" w:themeColor="text1"/>
                <w:lang w:eastAsia="en-US"/>
              </w:rPr>
              <w:t>.2023 год, кв. м.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18BC" w14:textId="661A7EAF" w:rsidR="00577F05" w:rsidRPr="00577F05" w:rsidRDefault="00577F05" w:rsidP="00695493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577F05">
              <w:rPr>
                <w:noProof/>
                <w:color w:val="000000" w:themeColor="text1"/>
                <w:lang w:eastAsia="en-US"/>
              </w:rPr>
              <w:t>В том числе площадь сетевых магазинов на 01.0</w:t>
            </w:r>
            <w:r w:rsidR="00025628">
              <w:rPr>
                <w:noProof/>
                <w:color w:val="000000" w:themeColor="text1"/>
                <w:lang w:eastAsia="en-US"/>
              </w:rPr>
              <w:t>4</w:t>
            </w:r>
            <w:r w:rsidRPr="00577F05">
              <w:rPr>
                <w:noProof/>
                <w:color w:val="000000" w:themeColor="text1"/>
                <w:lang w:eastAsia="en-US"/>
              </w:rPr>
              <w:t xml:space="preserve">.2023 год, </w:t>
            </w:r>
          </w:p>
          <w:p w14:paraId="1920B885" w14:textId="77777777" w:rsidR="00577F05" w:rsidRPr="00577F05" w:rsidRDefault="00577F05" w:rsidP="00695493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577F05">
              <w:rPr>
                <w:noProof/>
                <w:color w:val="000000" w:themeColor="text1"/>
                <w:lang w:eastAsia="en-US"/>
              </w:rPr>
              <w:t>кв. м.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8017" w14:textId="43DAF98F" w:rsidR="00577F05" w:rsidRPr="00577F05" w:rsidRDefault="00577F05" w:rsidP="00025628">
            <w:pPr>
              <w:spacing w:line="276" w:lineRule="auto"/>
              <w:rPr>
                <w:noProof/>
                <w:color w:val="000000" w:themeColor="text1"/>
                <w:lang w:eastAsia="en-US"/>
              </w:rPr>
            </w:pPr>
            <w:r w:rsidRPr="00577F05">
              <w:rPr>
                <w:noProof/>
                <w:color w:val="000000" w:themeColor="text1"/>
                <w:lang w:eastAsia="en-US"/>
              </w:rPr>
              <w:t xml:space="preserve">Доля площадей сетевых магазинов </w:t>
            </w:r>
            <w:r w:rsidR="00025628">
              <w:rPr>
                <w:noProof/>
                <w:color w:val="000000" w:themeColor="text1"/>
                <w:lang w:eastAsia="en-US"/>
              </w:rPr>
              <w:t>в первом квартале 2023</w:t>
            </w:r>
            <w:r w:rsidRPr="00577F05">
              <w:rPr>
                <w:noProof/>
                <w:color w:val="000000" w:themeColor="text1"/>
                <w:lang w:eastAsia="en-US"/>
              </w:rPr>
              <w:t xml:space="preserve"> год</w:t>
            </w:r>
            <w:r w:rsidR="00025628">
              <w:rPr>
                <w:noProof/>
                <w:color w:val="000000" w:themeColor="text1"/>
                <w:lang w:eastAsia="en-US"/>
              </w:rPr>
              <w:t>а</w:t>
            </w:r>
            <w:r w:rsidRPr="00577F05">
              <w:rPr>
                <w:noProof/>
                <w:color w:val="000000" w:themeColor="text1"/>
                <w:lang w:eastAsia="en-US"/>
              </w:rPr>
              <w:t>, %</w:t>
            </w:r>
          </w:p>
        </w:tc>
      </w:tr>
      <w:tr w:rsidR="00577F05" w:rsidRPr="00D4135E" w14:paraId="45E327F8" w14:textId="77777777" w:rsidTr="003445C5">
        <w:trPr>
          <w:trHeight w:val="8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CB13" w14:textId="0DB54AF2" w:rsidR="00577F05" w:rsidRPr="004E53FF" w:rsidRDefault="00577F05" w:rsidP="00BC1904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  <w:r w:rsidRPr="004E53FF">
              <w:rPr>
                <w:noProof/>
                <w:color w:val="000000" w:themeColor="text1"/>
                <w:lang w:eastAsia="en-US"/>
              </w:rPr>
              <w:t>274</w:t>
            </w:r>
            <w:r w:rsidR="00BC1904" w:rsidRPr="004E53FF">
              <w:rPr>
                <w:noProof/>
                <w:color w:val="000000" w:themeColor="text1"/>
                <w:lang w:eastAsia="en-US"/>
              </w:rPr>
              <w:t>417</w:t>
            </w:r>
            <w:r w:rsidRPr="004E53FF">
              <w:rPr>
                <w:noProof/>
                <w:color w:val="000000" w:themeColor="text1"/>
                <w:lang w:eastAsia="en-US"/>
              </w:rPr>
              <w:t>,</w:t>
            </w:r>
            <w:r w:rsidR="00BC1904" w:rsidRPr="004E53FF">
              <w:rPr>
                <w:noProof/>
                <w:color w:val="000000" w:themeColor="text1"/>
                <w:lang w:eastAsia="en-US"/>
              </w:rPr>
              <w:t>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5AB" w14:textId="6449AF0F" w:rsidR="00577F05" w:rsidRPr="004E53FF" w:rsidRDefault="00577F05" w:rsidP="00BC1904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  <w:r w:rsidRPr="004E53FF">
              <w:rPr>
                <w:noProof/>
                <w:color w:val="000000" w:themeColor="text1"/>
                <w:lang w:eastAsia="en-US"/>
              </w:rPr>
              <w:t>194</w:t>
            </w:r>
            <w:r w:rsidR="00BC1904" w:rsidRPr="004E53FF">
              <w:rPr>
                <w:noProof/>
                <w:color w:val="000000" w:themeColor="text1"/>
                <w:lang w:eastAsia="en-US"/>
              </w:rPr>
              <w:t>991</w:t>
            </w:r>
            <w:r w:rsidRPr="004E53FF">
              <w:rPr>
                <w:noProof/>
                <w:color w:val="000000" w:themeColor="text1"/>
                <w:lang w:eastAsia="en-US"/>
              </w:rPr>
              <w:t>,</w:t>
            </w:r>
            <w:r w:rsidR="00BC1904" w:rsidRPr="004E53FF">
              <w:rPr>
                <w:noProof/>
                <w:color w:val="000000" w:themeColor="text1"/>
                <w:lang w:eastAsia="en-US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F54C" w14:textId="77777777" w:rsidR="00577F05" w:rsidRPr="004E53FF" w:rsidRDefault="00577F05" w:rsidP="00695493">
            <w:pPr>
              <w:spacing w:line="276" w:lineRule="auto"/>
              <w:jc w:val="center"/>
              <w:rPr>
                <w:noProof/>
                <w:color w:val="000000" w:themeColor="text1"/>
                <w:lang w:eastAsia="en-US"/>
              </w:rPr>
            </w:pPr>
            <w:r w:rsidRPr="004E53FF">
              <w:rPr>
                <w:noProof/>
                <w:color w:val="000000" w:themeColor="text1"/>
                <w:lang w:eastAsia="en-US"/>
              </w:rPr>
              <w:t>71 %</w:t>
            </w:r>
          </w:p>
        </w:tc>
      </w:tr>
    </w:tbl>
    <w:p w14:paraId="36813A3F" w14:textId="77777777" w:rsidR="003170D8" w:rsidRPr="001D582D" w:rsidRDefault="003170D8" w:rsidP="0071751F">
      <w:pPr>
        <w:ind w:firstLine="567"/>
        <w:jc w:val="both"/>
        <w:rPr>
          <w:noProof/>
          <w:sz w:val="28"/>
          <w:szCs w:val="28"/>
        </w:rPr>
      </w:pPr>
    </w:p>
    <w:p w14:paraId="16A464F8" w14:textId="77777777" w:rsidR="0071751F" w:rsidRPr="00D4135E" w:rsidRDefault="0071751F" w:rsidP="0071751F">
      <w:pPr>
        <w:ind w:firstLine="567"/>
        <w:jc w:val="both"/>
        <w:rPr>
          <w:color w:val="000000" w:themeColor="text1"/>
          <w:sz w:val="28"/>
          <w:szCs w:val="28"/>
        </w:rPr>
      </w:pPr>
      <w:r w:rsidRPr="00D4135E">
        <w:rPr>
          <w:color w:val="000000" w:themeColor="text1"/>
          <w:sz w:val="28"/>
          <w:szCs w:val="28"/>
        </w:rPr>
        <w:t>Нестационарная сеть размещается в соответствии со схемами нестационарных объектов, разработанными и утвержденными в каждом поселении.</w:t>
      </w:r>
    </w:p>
    <w:p w14:paraId="3BC24F04" w14:textId="343D1D8D" w:rsidR="003B07B5" w:rsidRPr="003B07B5" w:rsidRDefault="003B07B5" w:rsidP="003B07B5">
      <w:pPr>
        <w:ind w:firstLine="567"/>
        <w:jc w:val="both"/>
        <w:rPr>
          <w:sz w:val="28"/>
          <w:szCs w:val="28"/>
        </w:rPr>
      </w:pPr>
      <w:r w:rsidRPr="003B07B5">
        <w:rPr>
          <w:sz w:val="28"/>
          <w:szCs w:val="28"/>
        </w:rPr>
        <w:t xml:space="preserve">Важным форматом в торговле являются ярмарки. По состоянию на отчетную дату, в соответствии со справочной общедоступной системой ярмарочных площадок Ленинградской области, на территории Гатчинского муниципального района зарегистрированы </w:t>
      </w:r>
      <w:r w:rsidRPr="004E53FF">
        <w:rPr>
          <w:sz w:val="28"/>
          <w:szCs w:val="28"/>
        </w:rPr>
        <w:t>3</w:t>
      </w:r>
      <w:r w:rsidR="00840BA5" w:rsidRPr="004E53FF">
        <w:rPr>
          <w:sz w:val="28"/>
          <w:szCs w:val="28"/>
        </w:rPr>
        <w:t>4</w:t>
      </w:r>
      <w:r w:rsidRPr="003B07B5">
        <w:rPr>
          <w:sz w:val="28"/>
          <w:szCs w:val="28"/>
        </w:rPr>
        <w:t xml:space="preserve"> ярмарочн</w:t>
      </w:r>
      <w:r w:rsidR="00840BA5">
        <w:rPr>
          <w:sz w:val="28"/>
          <w:szCs w:val="28"/>
        </w:rPr>
        <w:t>ые</w:t>
      </w:r>
      <w:r w:rsidRPr="003B07B5">
        <w:rPr>
          <w:sz w:val="28"/>
          <w:szCs w:val="28"/>
        </w:rPr>
        <w:t xml:space="preserve"> площадк</w:t>
      </w:r>
      <w:r w:rsidR="00840BA5">
        <w:rPr>
          <w:sz w:val="28"/>
          <w:szCs w:val="28"/>
        </w:rPr>
        <w:t>и</w:t>
      </w:r>
      <w:r w:rsidRPr="003B07B5">
        <w:rPr>
          <w:sz w:val="28"/>
          <w:szCs w:val="28"/>
        </w:rPr>
        <w:t xml:space="preserve">. </w:t>
      </w:r>
    </w:p>
    <w:p w14:paraId="285E2CE3" w14:textId="08BF5097" w:rsidR="00E11F9F" w:rsidRDefault="003B07B5" w:rsidP="00E11F9F">
      <w:pPr>
        <w:ind w:firstLine="567"/>
        <w:jc w:val="both"/>
        <w:rPr>
          <w:color w:val="000000" w:themeColor="text1"/>
          <w:sz w:val="28"/>
          <w:szCs w:val="28"/>
        </w:rPr>
      </w:pPr>
      <w:r w:rsidRPr="004E53FF">
        <w:rPr>
          <w:sz w:val="28"/>
          <w:szCs w:val="28"/>
        </w:rPr>
        <w:t xml:space="preserve">За </w:t>
      </w:r>
      <w:r w:rsidR="00025628" w:rsidRPr="004E53FF">
        <w:rPr>
          <w:sz w:val="28"/>
          <w:szCs w:val="28"/>
        </w:rPr>
        <w:t>период с января по март</w:t>
      </w:r>
      <w:r w:rsidRPr="004E53FF">
        <w:rPr>
          <w:sz w:val="28"/>
          <w:szCs w:val="28"/>
        </w:rPr>
        <w:t xml:space="preserve"> 202</w:t>
      </w:r>
      <w:r w:rsidR="00025628" w:rsidRPr="004E53FF">
        <w:rPr>
          <w:sz w:val="28"/>
          <w:szCs w:val="28"/>
        </w:rPr>
        <w:t>3</w:t>
      </w:r>
      <w:r w:rsidRPr="004E53FF">
        <w:rPr>
          <w:sz w:val="28"/>
          <w:szCs w:val="28"/>
        </w:rPr>
        <w:t xml:space="preserve"> года проведено </w:t>
      </w:r>
      <w:r w:rsidR="00840BA5" w:rsidRPr="004E53FF">
        <w:rPr>
          <w:sz w:val="28"/>
          <w:szCs w:val="28"/>
        </w:rPr>
        <w:t>24</w:t>
      </w:r>
      <w:r w:rsidRPr="004E53FF">
        <w:rPr>
          <w:sz w:val="28"/>
          <w:szCs w:val="28"/>
        </w:rPr>
        <w:t xml:space="preserve"> ярмар</w:t>
      </w:r>
      <w:r w:rsidR="00840BA5" w:rsidRPr="004E53FF">
        <w:rPr>
          <w:sz w:val="28"/>
          <w:szCs w:val="28"/>
        </w:rPr>
        <w:t>ки</w:t>
      </w:r>
      <w:r w:rsidRPr="004E53FF">
        <w:rPr>
          <w:sz w:val="28"/>
          <w:szCs w:val="28"/>
        </w:rPr>
        <w:t xml:space="preserve"> с общим количеством торговых мест – </w:t>
      </w:r>
      <w:r w:rsidR="00840BA5" w:rsidRPr="004E53FF">
        <w:rPr>
          <w:sz w:val="28"/>
          <w:szCs w:val="28"/>
        </w:rPr>
        <w:t>400</w:t>
      </w:r>
      <w:r w:rsidR="00E11F9F" w:rsidRPr="004E53FF">
        <w:rPr>
          <w:color w:val="000000" w:themeColor="text1"/>
          <w:sz w:val="28"/>
          <w:szCs w:val="28"/>
        </w:rPr>
        <w:t xml:space="preserve"> </w:t>
      </w:r>
      <w:r w:rsidR="00E11F9F" w:rsidRPr="004E53FF">
        <w:rPr>
          <w:sz w:val="28"/>
          <w:szCs w:val="28"/>
        </w:rPr>
        <w:t xml:space="preserve">(за </w:t>
      </w:r>
      <w:r w:rsidR="004E53FF" w:rsidRPr="004E53FF">
        <w:rPr>
          <w:sz w:val="28"/>
          <w:szCs w:val="28"/>
        </w:rPr>
        <w:t xml:space="preserve">1 </w:t>
      </w:r>
      <w:r w:rsidR="004E53FF">
        <w:rPr>
          <w:sz w:val="28"/>
          <w:szCs w:val="28"/>
        </w:rPr>
        <w:t>квартал 2022 года</w:t>
      </w:r>
      <w:r w:rsidR="00E11F9F" w:rsidRPr="004E53FF">
        <w:rPr>
          <w:sz w:val="28"/>
          <w:szCs w:val="28"/>
        </w:rPr>
        <w:t xml:space="preserve"> - </w:t>
      </w:r>
      <w:r w:rsidR="004E53FF">
        <w:rPr>
          <w:sz w:val="28"/>
          <w:szCs w:val="28"/>
        </w:rPr>
        <w:t>27</w:t>
      </w:r>
      <w:r w:rsidR="00E11F9F" w:rsidRPr="004E53FF">
        <w:rPr>
          <w:sz w:val="28"/>
          <w:szCs w:val="28"/>
        </w:rPr>
        <w:t xml:space="preserve"> ярмарок и </w:t>
      </w:r>
      <w:r w:rsidR="004E53FF">
        <w:rPr>
          <w:sz w:val="28"/>
          <w:szCs w:val="28"/>
        </w:rPr>
        <w:t xml:space="preserve">543 </w:t>
      </w:r>
      <w:r w:rsidR="00E11F9F" w:rsidRPr="004E53FF">
        <w:rPr>
          <w:sz w:val="28"/>
          <w:szCs w:val="28"/>
        </w:rPr>
        <w:t>мест</w:t>
      </w:r>
      <w:r w:rsidR="004E53FF">
        <w:rPr>
          <w:sz w:val="28"/>
          <w:szCs w:val="28"/>
        </w:rPr>
        <w:t>а</w:t>
      </w:r>
      <w:r w:rsidR="00E11F9F" w:rsidRPr="004E53FF">
        <w:rPr>
          <w:sz w:val="28"/>
          <w:szCs w:val="28"/>
        </w:rPr>
        <w:t xml:space="preserve">). </w:t>
      </w:r>
      <w:r w:rsidR="00E11F9F" w:rsidRPr="004E53FF">
        <w:rPr>
          <w:color w:val="000000" w:themeColor="text1"/>
          <w:sz w:val="28"/>
          <w:szCs w:val="28"/>
        </w:rPr>
        <w:t>Уменьшение количества проведенных ярмарок связано со сложной экономической ситуацией, связанной с проводимой СВО.</w:t>
      </w:r>
      <w:r w:rsidR="00E11F9F" w:rsidRPr="00B778A1">
        <w:rPr>
          <w:color w:val="000000" w:themeColor="text1"/>
          <w:sz w:val="28"/>
          <w:szCs w:val="28"/>
        </w:rPr>
        <w:t xml:space="preserve"> </w:t>
      </w:r>
    </w:p>
    <w:p w14:paraId="7643F960" w14:textId="2FF1FD41" w:rsidR="009C1075" w:rsidRDefault="009C1075" w:rsidP="009C1075">
      <w:pPr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18D6EFE" wp14:editId="2DD5E6DC">
            <wp:extent cx="6057900" cy="2600325"/>
            <wp:effectExtent l="0" t="0" r="0" b="9525"/>
            <wp:docPr id="135885377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AE2813E-DDB8-4204-9B70-37A5002DCC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4FEFF1" w14:textId="77777777" w:rsidR="009C1075" w:rsidRDefault="009C1075" w:rsidP="00E11F9F">
      <w:pPr>
        <w:ind w:firstLine="567"/>
        <w:jc w:val="both"/>
        <w:rPr>
          <w:color w:val="000000" w:themeColor="text1"/>
          <w:sz w:val="28"/>
          <w:szCs w:val="28"/>
        </w:rPr>
      </w:pPr>
    </w:p>
    <w:p w14:paraId="4E9E65D7" w14:textId="020650EE" w:rsidR="00F82884" w:rsidRPr="00B778A1" w:rsidRDefault="00F82884" w:rsidP="00F82884">
      <w:pPr>
        <w:jc w:val="both"/>
        <w:rPr>
          <w:color w:val="000000" w:themeColor="text1"/>
          <w:sz w:val="28"/>
          <w:szCs w:val="28"/>
        </w:rPr>
      </w:pPr>
    </w:p>
    <w:p w14:paraId="3FECD18A" w14:textId="3A73373C" w:rsidR="0037483C" w:rsidRPr="0037483C" w:rsidRDefault="0037483C" w:rsidP="0037483C">
      <w:pPr>
        <w:ind w:firstLine="567"/>
        <w:jc w:val="both"/>
        <w:rPr>
          <w:color w:val="000000" w:themeColor="text1"/>
          <w:sz w:val="28"/>
          <w:szCs w:val="28"/>
        </w:rPr>
      </w:pPr>
      <w:r w:rsidRPr="0037483C">
        <w:rPr>
          <w:color w:val="000000" w:themeColor="text1"/>
          <w:sz w:val="28"/>
          <w:szCs w:val="28"/>
        </w:rPr>
        <w:t>Обеспеченность населени</w:t>
      </w:r>
      <w:r w:rsidR="003411F3">
        <w:rPr>
          <w:color w:val="000000" w:themeColor="text1"/>
          <w:sz w:val="28"/>
          <w:szCs w:val="28"/>
        </w:rPr>
        <w:t>я на одну тысячу жителей на 01.0</w:t>
      </w:r>
      <w:r w:rsidR="00FF33A9">
        <w:rPr>
          <w:color w:val="000000" w:themeColor="text1"/>
          <w:sz w:val="28"/>
          <w:szCs w:val="28"/>
        </w:rPr>
        <w:t>4</w:t>
      </w:r>
      <w:r w:rsidRPr="0037483C">
        <w:rPr>
          <w:color w:val="000000" w:themeColor="text1"/>
          <w:sz w:val="28"/>
          <w:szCs w:val="28"/>
        </w:rPr>
        <w:t>.202</w:t>
      </w:r>
      <w:r w:rsidR="003411F3">
        <w:rPr>
          <w:color w:val="000000" w:themeColor="text1"/>
          <w:sz w:val="28"/>
          <w:szCs w:val="28"/>
        </w:rPr>
        <w:t>3</w:t>
      </w:r>
      <w:r w:rsidRPr="0037483C">
        <w:rPr>
          <w:color w:val="000000" w:themeColor="text1"/>
          <w:sz w:val="28"/>
          <w:szCs w:val="28"/>
        </w:rPr>
        <w:t xml:space="preserve">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1486"/>
        <w:gridCol w:w="1778"/>
        <w:gridCol w:w="3094"/>
      </w:tblGrid>
      <w:tr w:rsidR="0037483C" w:rsidRPr="0037483C" w14:paraId="143AC32A" w14:textId="77777777" w:rsidTr="00577F05">
        <w:tc>
          <w:tcPr>
            <w:tcW w:w="3068" w:type="dxa"/>
          </w:tcPr>
          <w:p w14:paraId="7B2F6323" w14:textId="77777777" w:rsidR="0037483C" w:rsidRPr="0037483C" w:rsidRDefault="0037483C" w:rsidP="003445C5">
            <w:pPr>
              <w:jc w:val="both"/>
              <w:rPr>
                <w:color w:val="000000" w:themeColor="text1"/>
              </w:rPr>
            </w:pPr>
            <w:r w:rsidRPr="0037483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503" w:type="dxa"/>
          </w:tcPr>
          <w:p w14:paraId="63FB24E8" w14:textId="77777777" w:rsidR="0037483C" w:rsidRPr="0037483C" w:rsidRDefault="0037483C" w:rsidP="003445C5">
            <w:pPr>
              <w:jc w:val="both"/>
              <w:rPr>
                <w:color w:val="000000" w:themeColor="text1"/>
              </w:rPr>
            </w:pPr>
            <w:r w:rsidRPr="0037483C">
              <w:rPr>
                <w:color w:val="000000" w:themeColor="text1"/>
              </w:rPr>
              <w:t>Норматив</w:t>
            </w:r>
          </w:p>
        </w:tc>
        <w:tc>
          <w:tcPr>
            <w:tcW w:w="1794" w:type="dxa"/>
          </w:tcPr>
          <w:p w14:paraId="34C3C767" w14:textId="2E45FAEC" w:rsidR="0037483C" w:rsidRPr="0037483C" w:rsidRDefault="0037483C" w:rsidP="00FF33A9">
            <w:pPr>
              <w:jc w:val="both"/>
              <w:rPr>
                <w:color w:val="000000" w:themeColor="text1"/>
              </w:rPr>
            </w:pPr>
            <w:r w:rsidRPr="0037483C">
              <w:rPr>
                <w:color w:val="000000" w:themeColor="text1"/>
              </w:rPr>
              <w:t>Фактическое значение на 01.</w:t>
            </w:r>
            <w:r w:rsidR="003411F3">
              <w:rPr>
                <w:color w:val="000000" w:themeColor="text1"/>
              </w:rPr>
              <w:t>0</w:t>
            </w:r>
            <w:r w:rsidR="00FF33A9">
              <w:rPr>
                <w:color w:val="000000" w:themeColor="text1"/>
              </w:rPr>
              <w:t>4</w:t>
            </w:r>
            <w:r w:rsidRPr="0037483C">
              <w:rPr>
                <w:color w:val="000000" w:themeColor="text1"/>
              </w:rPr>
              <w:t>.202</w:t>
            </w:r>
            <w:r w:rsidR="003411F3">
              <w:rPr>
                <w:color w:val="000000" w:themeColor="text1"/>
              </w:rPr>
              <w:t>3</w:t>
            </w:r>
          </w:p>
        </w:tc>
        <w:tc>
          <w:tcPr>
            <w:tcW w:w="3206" w:type="dxa"/>
          </w:tcPr>
          <w:p w14:paraId="55C57C34" w14:textId="77777777" w:rsidR="0037483C" w:rsidRPr="0037483C" w:rsidRDefault="0037483C" w:rsidP="003445C5">
            <w:pPr>
              <w:jc w:val="both"/>
              <w:rPr>
                <w:color w:val="000000" w:themeColor="text1"/>
              </w:rPr>
            </w:pPr>
            <w:r w:rsidRPr="0037483C">
              <w:rPr>
                <w:color w:val="000000" w:themeColor="text1"/>
              </w:rPr>
              <w:t>Исполнение норматива, %</w:t>
            </w:r>
          </w:p>
        </w:tc>
      </w:tr>
      <w:tr w:rsidR="00577F05" w:rsidRPr="00D824B0" w14:paraId="5DD9311C" w14:textId="77777777" w:rsidTr="00F82884">
        <w:trPr>
          <w:trHeight w:val="1457"/>
        </w:trPr>
        <w:tc>
          <w:tcPr>
            <w:tcW w:w="3068" w:type="dxa"/>
          </w:tcPr>
          <w:p w14:paraId="2D5DE7CB" w14:textId="77777777" w:rsidR="00577F05" w:rsidRPr="009C1075" w:rsidRDefault="00577F05" w:rsidP="003445C5">
            <w:pPr>
              <w:rPr>
                <w:color w:val="000000" w:themeColor="text1"/>
              </w:rPr>
            </w:pPr>
            <w:r w:rsidRPr="009C1075">
              <w:rPr>
                <w:color w:val="000000" w:themeColor="text1"/>
              </w:rPr>
              <w:t>«Минимальная обеспеченность населения торговыми площадями стационарных торговых объектов», кв. м.</w:t>
            </w:r>
          </w:p>
        </w:tc>
        <w:tc>
          <w:tcPr>
            <w:tcW w:w="1503" w:type="dxa"/>
            <w:vAlign w:val="center"/>
          </w:tcPr>
          <w:p w14:paraId="06921FCE" w14:textId="77777777" w:rsidR="00577F05" w:rsidRPr="009C1075" w:rsidRDefault="00577F05" w:rsidP="00695493">
            <w:pPr>
              <w:jc w:val="center"/>
              <w:rPr>
                <w:color w:val="000000" w:themeColor="text1"/>
              </w:rPr>
            </w:pPr>
            <w:r w:rsidRPr="009C1075">
              <w:rPr>
                <w:color w:val="000000" w:themeColor="text1"/>
              </w:rPr>
              <w:t>574,1</w:t>
            </w:r>
          </w:p>
        </w:tc>
        <w:tc>
          <w:tcPr>
            <w:tcW w:w="1794" w:type="dxa"/>
            <w:vAlign w:val="center"/>
          </w:tcPr>
          <w:p w14:paraId="2EDAD922" w14:textId="305B302D" w:rsidR="00577F05" w:rsidRPr="009C1075" w:rsidRDefault="00577F05" w:rsidP="00D824B0">
            <w:pPr>
              <w:jc w:val="center"/>
              <w:rPr>
                <w:color w:val="000000" w:themeColor="text1"/>
              </w:rPr>
            </w:pPr>
            <w:r w:rsidRPr="009C1075">
              <w:rPr>
                <w:color w:val="000000" w:themeColor="text1"/>
              </w:rPr>
              <w:t>1</w:t>
            </w:r>
            <w:r w:rsidR="00D949D9" w:rsidRPr="009C1075">
              <w:rPr>
                <w:color w:val="000000" w:themeColor="text1"/>
              </w:rPr>
              <w:t>0</w:t>
            </w:r>
            <w:r w:rsidR="00D824B0" w:rsidRPr="009C1075">
              <w:rPr>
                <w:color w:val="000000" w:themeColor="text1"/>
              </w:rPr>
              <w:t>17</w:t>
            </w:r>
            <w:r w:rsidRPr="009C1075">
              <w:rPr>
                <w:color w:val="000000" w:themeColor="text1"/>
              </w:rPr>
              <w:t>,</w:t>
            </w:r>
            <w:r w:rsidR="00D824B0" w:rsidRPr="009C1075">
              <w:rPr>
                <w:color w:val="000000" w:themeColor="text1"/>
              </w:rPr>
              <w:t>5</w:t>
            </w:r>
          </w:p>
        </w:tc>
        <w:tc>
          <w:tcPr>
            <w:tcW w:w="3206" w:type="dxa"/>
            <w:vAlign w:val="center"/>
          </w:tcPr>
          <w:p w14:paraId="1CC8C924" w14:textId="78DF1738" w:rsidR="00577F05" w:rsidRPr="009C1075" w:rsidRDefault="00D949D9" w:rsidP="00D824B0">
            <w:pPr>
              <w:jc w:val="center"/>
              <w:rPr>
                <w:color w:val="000000" w:themeColor="text1"/>
              </w:rPr>
            </w:pPr>
            <w:r w:rsidRPr="009C1075">
              <w:rPr>
                <w:color w:val="000000" w:themeColor="text1"/>
              </w:rPr>
              <w:t>17</w:t>
            </w:r>
            <w:r w:rsidR="00D824B0" w:rsidRPr="009C1075">
              <w:rPr>
                <w:color w:val="000000" w:themeColor="text1"/>
              </w:rPr>
              <w:t>7</w:t>
            </w:r>
            <w:r w:rsidR="00577F05" w:rsidRPr="009C1075">
              <w:rPr>
                <w:color w:val="000000" w:themeColor="text1"/>
              </w:rPr>
              <w:t>,</w:t>
            </w:r>
            <w:r w:rsidR="00D824B0" w:rsidRPr="009C1075">
              <w:rPr>
                <w:color w:val="000000" w:themeColor="text1"/>
              </w:rPr>
              <w:t>2</w:t>
            </w:r>
            <w:r w:rsidR="00577F05" w:rsidRPr="009C1075">
              <w:rPr>
                <w:color w:val="000000" w:themeColor="text1"/>
              </w:rPr>
              <w:t>%</w:t>
            </w:r>
          </w:p>
        </w:tc>
      </w:tr>
    </w:tbl>
    <w:p w14:paraId="703DE080" w14:textId="77777777" w:rsidR="008F5CFB" w:rsidRPr="00A21200" w:rsidRDefault="008F5CFB" w:rsidP="00B921D5">
      <w:pPr>
        <w:ind w:firstLine="567"/>
        <w:jc w:val="both"/>
        <w:rPr>
          <w:sz w:val="28"/>
          <w:szCs w:val="28"/>
        </w:rPr>
      </w:pPr>
    </w:p>
    <w:p w14:paraId="10DA8CD5" w14:textId="5ECEE3CD" w:rsidR="0071751F" w:rsidRPr="0081568C" w:rsidRDefault="0071751F" w:rsidP="0071751F">
      <w:pPr>
        <w:ind w:firstLine="567"/>
        <w:jc w:val="both"/>
        <w:rPr>
          <w:sz w:val="28"/>
          <w:szCs w:val="28"/>
        </w:rPr>
      </w:pPr>
      <w:r w:rsidRPr="0081568C">
        <w:rPr>
          <w:sz w:val="28"/>
          <w:szCs w:val="28"/>
        </w:rPr>
        <w:t xml:space="preserve">Одним из показателей успешной работы отрасли является оборот розничной торговли, общественного питания и бытового обслуживания населения. </w:t>
      </w:r>
      <w:r w:rsidRPr="00F82884">
        <w:rPr>
          <w:sz w:val="28"/>
          <w:szCs w:val="28"/>
        </w:rPr>
        <w:t>По информации «</w:t>
      </w:r>
      <w:proofErr w:type="spellStart"/>
      <w:r w:rsidRPr="00F82884">
        <w:rPr>
          <w:sz w:val="28"/>
          <w:szCs w:val="28"/>
        </w:rPr>
        <w:t>Петростата</w:t>
      </w:r>
      <w:proofErr w:type="spellEnd"/>
      <w:r w:rsidRPr="00F82884">
        <w:rPr>
          <w:sz w:val="28"/>
          <w:szCs w:val="28"/>
        </w:rPr>
        <w:t>» по организациям Ленинградской о</w:t>
      </w:r>
      <w:r w:rsidR="00DE1E8C" w:rsidRPr="00F82884">
        <w:rPr>
          <w:sz w:val="28"/>
          <w:szCs w:val="28"/>
        </w:rPr>
        <w:t>б</w:t>
      </w:r>
      <w:r w:rsidRPr="00F82884">
        <w:rPr>
          <w:sz w:val="28"/>
          <w:szCs w:val="28"/>
        </w:rPr>
        <w:t>ласти, не относящимся к субъектам малого предпринимательства (включая средние предприятия), средняя численность которых превышает 15 человек,</w:t>
      </w:r>
      <w:r w:rsidR="00F82884" w:rsidRPr="00F82884">
        <w:rPr>
          <w:sz w:val="28"/>
          <w:szCs w:val="28"/>
        </w:rPr>
        <w:t xml:space="preserve"> </w:t>
      </w:r>
      <w:r w:rsidRPr="00F82884">
        <w:rPr>
          <w:sz w:val="28"/>
          <w:szCs w:val="28"/>
        </w:rPr>
        <w:t>оборот за</w:t>
      </w:r>
      <w:r w:rsidR="00FF33A9">
        <w:rPr>
          <w:sz w:val="28"/>
          <w:szCs w:val="28"/>
        </w:rPr>
        <w:t xml:space="preserve"> 1 квартал</w:t>
      </w:r>
      <w:r w:rsidRPr="00F82884">
        <w:rPr>
          <w:sz w:val="28"/>
          <w:szCs w:val="28"/>
        </w:rPr>
        <w:t xml:space="preserve"> 202</w:t>
      </w:r>
      <w:r w:rsidR="00FF33A9">
        <w:rPr>
          <w:sz w:val="28"/>
          <w:szCs w:val="28"/>
        </w:rPr>
        <w:t>3</w:t>
      </w:r>
      <w:r w:rsidRPr="00F82884">
        <w:rPr>
          <w:sz w:val="28"/>
          <w:szCs w:val="28"/>
        </w:rPr>
        <w:t xml:space="preserve"> год</w:t>
      </w:r>
      <w:r w:rsidR="00FF33A9">
        <w:rPr>
          <w:sz w:val="28"/>
          <w:szCs w:val="28"/>
        </w:rPr>
        <w:t>а</w:t>
      </w:r>
      <w:r w:rsidRPr="00F82884">
        <w:rPr>
          <w:sz w:val="28"/>
          <w:szCs w:val="28"/>
        </w:rPr>
        <w:t xml:space="preserve"> составил: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6"/>
        <w:gridCol w:w="3114"/>
      </w:tblGrid>
      <w:tr w:rsidR="0081568C" w:rsidRPr="0081568C" w14:paraId="4390D3D5" w14:textId="77777777" w:rsidTr="003445C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472" w14:textId="77777777" w:rsidR="0071751F" w:rsidRPr="0081568C" w:rsidRDefault="0071751F" w:rsidP="003445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4AE" w14:textId="77777777" w:rsidR="0071751F" w:rsidRPr="0081568C" w:rsidRDefault="0071751F" w:rsidP="003445C5">
            <w:pPr>
              <w:jc w:val="center"/>
              <w:rPr>
                <w:sz w:val="28"/>
                <w:szCs w:val="28"/>
              </w:rPr>
            </w:pPr>
            <w:r w:rsidRPr="0081568C">
              <w:rPr>
                <w:sz w:val="28"/>
                <w:szCs w:val="28"/>
              </w:rPr>
              <w:t>Тыс. руб.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A3D5" w14:textId="77777777" w:rsidR="0071751F" w:rsidRPr="009B40DE" w:rsidRDefault="0071751F" w:rsidP="003445C5">
            <w:pPr>
              <w:jc w:val="center"/>
              <w:rPr>
                <w:sz w:val="28"/>
                <w:szCs w:val="28"/>
              </w:rPr>
            </w:pPr>
            <w:r w:rsidRPr="009B40DE">
              <w:rPr>
                <w:sz w:val="28"/>
                <w:szCs w:val="28"/>
              </w:rPr>
              <w:t>в % к соответствующему периоду прошлого года</w:t>
            </w:r>
          </w:p>
        </w:tc>
      </w:tr>
      <w:tr w:rsidR="0081568C" w:rsidRPr="00F82884" w14:paraId="4BF848F6" w14:textId="77777777" w:rsidTr="003445C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7BA" w14:textId="77777777" w:rsidR="0071751F" w:rsidRPr="00F82884" w:rsidRDefault="0071751F" w:rsidP="003445C5">
            <w:pPr>
              <w:jc w:val="both"/>
              <w:rPr>
                <w:sz w:val="28"/>
                <w:szCs w:val="28"/>
              </w:rPr>
            </w:pPr>
            <w:r w:rsidRPr="00F82884">
              <w:rPr>
                <w:sz w:val="28"/>
                <w:szCs w:val="28"/>
              </w:rPr>
              <w:t>Розничная торговля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10C8" w14:textId="63DE1CF8" w:rsidR="0071751F" w:rsidRPr="00FF33A9" w:rsidRDefault="009B40DE" w:rsidP="003445C5">
            <w:pPr>
              <w:jc w:val="center"/>
              <w:rPr>
                <w:sz w:val="28"/>
                <w:szCs w:val="28"/>
                <w:highlight w:val="yellow"/>
              </w:rPr>
            </w:pPr>
            <w:r w:rsidRPr="009B40DE">
              <w:rPr>
                <w:sz w:val="28"/>
                <w:szCs w:val="28"/>
              </w:rPr>
              <w:t>8</w:t>
            </w:r>
            <w:r w:rsidR="00A76B2C">
              <w:rPr>
                <w:sz w:val="28"/>
                <w:szCs w:val="28"/>
              </w:rPr>
              <w:t> 022 292,50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83B4" w14:textId="68F0AFE8" w:rsidR="0071751F" w:rsidRPr="009B40DE" w:rsidRDefault="00A76B2C" w:rsidP="0034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81568C" w:rsidRPr="0081568C" w14:paraId="6EE0874D" w14:textId="77777777" w:rsidTr="003445C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E488" w14:textId="77777777" w:rsidR="0071751F" w:rsidRPr="00F82884" w:rsidRDefault="0071751F" w:rsidP="003445C5">
            <w:pPr>
              <w:jc w:val="both"/>
              <w:rPr>
                <w:sz w:val="28"/>
                <w:szCs w:val="28"/>
              </w:rPr>
            </w:pPr>
            <w:r w:rsidRPr="00F82884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E836" w14:textId="6C3E213A" w:rsidR="0071751F" w:rsidRPr="00FF33A9" w:rsidRDefault="009B40DE" w:rsidP="003445C5">
            <w:pPr>
              <w:jc w:val="center"/>
              <w:rPr>
                <w:sz w:val="28"/>
                <w:szCs w:val="28"/>
                <w:highlight w:val="yellow"/>
              </w:rPr>
            </w:pPr>
            <w:r w:rsidRPr="009B40DE">
              <w:rPr>
                <w:sz w:val="28"/>
                <w:szCs w:val="28"/>
              </w:rPr>
              <w:t>139</w:t>
            </w:r>
            <w:r>
              <w:rPr>
                <w:sz w:val="28"/>
                <w:szCs w:val="28"/>
              </w:rPr>
              <w:t xml:space="preserve"> </w:t>
            </w:r>
            <w:r w:rsidRPr="009B40DE">
              <w:rPr>
                <w:sz w:val="28"/>
                <w:szCs w:val="28"/>
              </w:rPr>
              <w:t>763,3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18F1" w14:textId="3479DE60" w:rsidR="0071751F" w:rsidRPr="009B40DE" w:rsidRDefault="00A76B2C" w:rsidP="0034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116,3</w:t>
            </w:r>
          </w:p>
        </w:tc>
      </w:tr>
      <w:tr w:rsidR="0081568C" w:rsidRPr="0081568C" w14:paraId="7554C1FA" w14:textId="77777777" w:rsidTr="003445C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631" w14:textId="77777777" w:rsidR="0071751F" w:rsidRPr="0081568C" w:rsidRDefault="0071751F" w:rsidP="003445C5">
            <w:pPr>
              <w:jc w:val="both"/>
              <w:rPr>
                <w:sz w:val="28"/>
                <w:szCs w:val="28"/>
              </w:rPr>
            </w:pPr>
            <w:r w:rsidRPr="0081568C">
              <w:rPr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D680" w14:textId="07A98284" w:rsidR="0071751F" w:rsidRPr="00FF33A9" w:rsidRDefault="009B40DE" w:rsidP="003445C5">
            <w:pPr>
              <w:jc w:val="center"/>
              <w:rPr>
                <w:sz w:val="28"/>
                <w:szCs w:val="28"/>
                <w:highlight w:val="yellow"/>
              </w:rPr>
            </w:pPr>
            <w:r w:rsidRPr="009B40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9B40DE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 xml:space="preserve"> </w:t>
            </w:r>
            <w:r w:rsidRPr="009B40DE">
              <w:rPr>
                <w:sz w:val="28"/>
                <w:szCs w:val="28"/>
              </w:rPr>
              <w:t>707,5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B807" w14:textId="2ED9BBBA" w:rsidR="0071751F" w:rsidRPr="009B40DE" w:rsidRDefault="009B40DE" w:rsidP="003445C5">
            <w:pPr>
              <w:jc w:val="center"/>
              <w:rPr>
                <w:sz w:val="28"/>
                <w:szCs w:val="28"/>
              </w:rPr>
            </w:pPr>
            <w:r w:rsidRPr="009B40DE">
              <w:rPr>
                <w:sz w:val="28"/>
                <w:szCs w:val="28"/>
              </w:rPr>
              <w:t>107,6</w:t>
            </w:r>
          </w:p>
        </w:tc>
      </w:tr>
    </w:tbl>
    <w:p w14:paraId="4FA28111" w14:textId="77777777" w:rsidR="00081FE6" w:rsidRDefault="00081FE6" w:rsidP="0071751F">
      <w:pPr>
        <w:pStyle w:val="western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</w:p>
    <w:p w14:paraId="50E96A0D" w14:textId="1C67583B" w:rsidR="009C1075" w:rsidRDefault="00A76B2C" w:rsidP="009C1075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48DE868" wp14:editId="5D3D86C0">
            <wp:extent cx="5924550" cy="3495675"/>
            <wp:effectExtent l="0" t="0" r="0" b="9525"/>
            <wp:docPr id="65496709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4296BE8-1DD3-488E-96E8-CB85B5ABB8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3148EC" w14:textId="77777777" w:rsidR="009C1075" w:rsidRDefault="009C1075" w:rsidP="0071751F">
      <w:pPr>
        <w:pStyle w:val="western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</w:p>
    <w:p w14:paraId="283E3CB9" w14:textId="783EAAD9" w:rsidR="0081568C" w:rsidRPr="0081568C" w:rsidRDefault="0081568C" w:rsidP="0081568C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14:paraId="4B126033" w14:textId="77777777" w:rsidR="00081FE6" w:rsidRPr="00C01139" w:rsidRDefault="00081FE6" w:rsidP="0071751F">
      <w:pPr>
        <w:pStyle w:val="western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</w:p>
    <w:p w14:paraId="42061AD8" w14:textId="77777777" w:rsidR="00FF33A9" w:rsidRDefault="00FF33A9" w:rsidP="0071751F">
      <w:pPr>
        <w:pStyle w:val="western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</w:p>
    <w:p w14:paraId="7F40B578" w14:textId="77777777" w:rsidR="00FF33A9" w:rsidRDefault="00FF33A9" w:rsidP="0071751F">
      <w:pPr>
        <w:pStyle w:val="western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</w:p>
    <w:p w14:paraId="1B0159B9" w14:textId="2BEBC5F0" w:rsidR="0071751F" w:rsidRPr="00C01139" w:rsidRDefault="0071751F" w:rsidP="0071751F">
      <w:pPr>
        <w:pStyle w:val="western"/>
        <w:spacing w:before="0" w:beforeAutospacing="0" w:after="0" w:line="240" w:lineRule="auto"/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lastRenderedPageBreak/>
        <w:t xml:space="preserve">За </w:t>
      </w:r>
      <w:r w:rsidR="00FF33A9">
        <w:rPr>
          <w:sz w:val="28"/>
          <w:szCs w:val="28"/>
        </w:rPr>
        <w:t xml:space="preserve">период с января по март </w:t>
      </w:r>
      <w:r w:rsidRPr="00C01139">
        <w:rPr>
          <w:sz w:val="28"/>
          <w:szCs w:val="28"/>
        </w:rPr>
        <w:t>202</w:t>
      </w:r>
      <w:r w:rsidR="00FF33A9">
        <w:rPr>
          <w:sz w:val="28"/>
          <w:szCs w:val="28"/>
        </w:rPr>
        <w:t>3</w:t>
      </w:r>
      <w:r w:rsidR="00564238" w:rsidRPr="00C01139">
        <w:rPr>
          <w:sz w:val="28"/>
          <w:szCs w:val="28"/>
        </w:rPr>
        <w:t xml:space="preserve"> </w:t>
      </w:r>
      <w:r w:rsidRPr="00C01139">
        <w:rPr>
          <w:sz w:val="28"/>
          <w:szCs w:val="28"/>
        </w:rPr>
        <w:t>год</w:t>
      </w:r>
      <w:r w:rsidR="00FF33A9">
        <w:rPr>
          <w:sz w:val="28"/>
          <w:szCs w:val="28"/>
        </w:rPr>
        <w:t>а</w:t>
      </w:r>
      <w:r w:rsidRPr="00C01139">
        <w:rPr>
          <w:sz w:val="28"/>
          <w:szCs w:val="28"/>
        </w:rPr>
        <w:t>:</w:t>
      </w:r>
    </w:p>
    <w:p w14:paraId="1DDBD5D7" w14:textId="7E87D529" w:rsidR="00DB7B5C" w:rsidRPr="00DE36DF" w:rsidRDefault="00DB7B5C" w:rsidP="00DB7B5C">
      <w:pPr>
        <w:ind w:firstLine="567"/>
        <w:jc w:val="both"/>
        <w:rPr>
          <w:sz w:val="28"/>
          <w:szCs w:val="28"/>
        </w:rPr>
      </w:pPr>
      <w:r w:rsidRPr="00DE36DF">
        <w:rPr>
          <w:sz w:val="28"/>
          <w:szCs w:val="28"/>
        </w:rPr>
        <w:t>- проведена работа по организации общегородских мероприятий: годо</w:t>
      </w:r>
      <w:r w:rsidR="00FF33A9">
        <w:rPr>
          <w:sz w:val="28"/>
          <w:szCs w:val="28"/>
        </w:rPr>
        <w:t>вщине снятия блокады, масленицы</w:t>
      </w:r>
      <w:r w:rsidR="00C01139" w:rsidRPr="00DE36DF">
        <w:rPr>
          <w:sz w:val="28"/>
          <w:szCs w:val="28"/>
        </w:rPr>
        <w:t>;</w:t>
      </w:r>
    </w:p>
    <w:p w14:paraId="15A76576" w14:textId="77777777" w:rsidR="003B07B5" w:rsidRPr="00ED10E8" w:rsidRDefault="003B07B5" w:rsidP="003B07B5">
      <w:pPr>
        <w:ind w:firstLine="567"/>
        <w:jc w:val="both"/>
        <w:rPr>
          <w:sz w:val="28"/>
          <w:szCs w:val="28"/>
        </w:rPr>
      </w:pPr>
      <w:r w:rsidRPr="003B07B5">
        <w:rPr>
          <w:sz w:val="28"/>
          <w:szCs w:val="28"/>
        </w:rPr>
        <w:t>- оказывается помощь Комитету по развитию малого, среднего бизнеса Правительства ЛО в формировании перечня объектов, подлежащих категорированию</w:t>
      </w:r>
      <w:r w:rsidRPr="00ED10E8">
        <w:rPr>
          <w:sz w:val="28"/>
          <w:szCs w:val="28"/>
        </w:rPr>
        <w:t>. На 30.12.2022 по ГМР в Перечень объектов, подлежащих категорированию на территории ГМР, включено 118 торговых объектов. Прошли категорирование 93 объекта; 25 объектов признаны объектами, не подлежащими категорированию (из Перечня не исключены). Плановые проверки за обеспечением антитеррористической защищенности торговых объектов на 30.12.2022 прошли 20 объектов, 2 объекта не прошли. Дополнительно для включения в Перечень объектов в Комитет по развитию малого, среднего бизнеса Правительства ЛО направлены сведения еще на 19 объектов;</w:t>
      </w:r>
    </w:p>
    <w:p w14:paraId="51EC16DD" w14:textId="55B27B02" w:rsidR="00DB7B5C" w:rsidRPr="00D4135E" w:rsidRDefault="00DB7B5C" w:rsidP="00DB7B5C">
      <w:pPr>
        <w:ind w:firstLine="567"/>
        <w:jc w:val="both"/>
        <w:rPr>
          <w:color w:val="000000" w:themeColor="text1"/>
          <w:sz w:val="28"/>
          <w:szCs w:val="28"/>
        </w:rPr>
      </w:pPr>
      <w:r w:rsidRPr="00ED10E8">
        <w:rPr>
          <w:color w:val="000000" w:themeColor="text1"/>
          <w:sz w:val="28"/>
          <w:szCs w:val="28"/>
        </w:rPr>
        <w:t xml:space="preserve">- на территории города Гатчина была оказано </w:t>
      </w:r>
      <w:r w:rsidR="00840BA5" w:rsidRPr="00ED10E8">
        <w:rPr>
          <w:color w:val="000000" w:themeColor="text1"/>
          <w:sz w:val="28"/>
          <w:szCs w:val="28"/>
        </w:rPr>
        <w:t>29</w:t>
      </w:r>
      <w:r w:rsidRPr="00ED10E8">
        <w:rPr>
          <w:color w:val="000000" w:themeColor="text1"/>
          <w:sz w:val="28"/>
          <w:szCs w:val="28"/>
        </w:rPr>
        <w:t xml:space="preserve"> муниципальны</w:t>
      </w:r>
      <w:r w:rsidR="00840BA5" w:rsidRPr="00ED10E8">
        <w:rPr>
          <w:color w:val="000000" w:themeColor="text1"/>
          <w:sz w:val="28"/>
          <w:szCs w:val="28"/>
        </w:rPr>
        <w:t>х</w:t>
      </w:r>
      <w:r w:rsidRPr="00ED10E8">
        <w:rPr>
          <w:color w:val="000000" w:themeColor="text1"/>
          <w:sz w:val="28"/>
          <w:szCs w:val="28"/>
        </w:rPr>
        <w:t xml:space="preserve"> услуг по предоставлению права на размещение нестационарного торгового объекта,</w:t>
      </w:r>
    </w:p>
    <w:p w14:paraId="6936028F" w14:textId="77777777" w:rsidR="00DB7B5C" w:rsidRPr="00C01139" w:rsidRDefault="00DB7B5C" w:rsidP="00DB7B5C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t xml:space="preserve">- продолжается работа по </w:t>
      </w:r>
      <w:r w:rsidR="00C01139" w:rsidRPr="00C01139">
        <w:rPr>
          <w:sz w:val="28"/>
          <w:szCs w:val="28"/>
        </w:rPr>
        <w:t xml:space="preserve">актуализации документов по </w:t>
      </w:r>
      <w:r w:rsidRPr="00C01139">
        <w:rPr>
          <w:sz w:val="28"/>
          <w:szCs w:val="28"/>
        </w:rPr>
        <w:t>согласованию размещения объектов бытового обслуживания населения, общественного питания и объектов досугово-развлекательного характера,</w:t>
      </w:r>
    </w:p>
    <w:p w14:paraId="580D25D4" w14:textId="77777777" w:rsidR="00DB7B5C" w:rsidRPr="00C01139" w:rsidRDefault="00DB7B5C" w:rsidP="00DB7B5C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t>-постоянно проводится организационная работа с руководителями предприятий потребительского рынка по вопросам благоустройства прилегающих территорий,</w:t>
      </w:r>
    </w:p>
    <w:p w14:paraId="0B7115DA" w14:textId="77777777" w:rsidR="00DB7B5C" w:rsidRPr="00DE36DF" w:rsidRDefault="00DB7B5C" w:rsidP="00DB7B5C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t xml:space="preserve">- специалистами отдела проводится еженедельный мониторинг цен с фотофиксацией на товары первой необходимости по 52 наименованиям товаров по федеральным и местным сетям с внесением данных сведений в программу мониторинга Российской Федерации «Система мониторинга цен и запасов товаров первой необходимости» с ежемесячным сравнительным </w:t>
      </w:r>
      <w:r w:rsidRPr="00DE36DF">
        <w:rPr>
          <w:sz w:val="28"/>
          <w:szCs w:val="28"/>
        </w:rPr>
        <w:t xml:space="preserve">анализом по данным </w:t>
      </w:r>
      <w:proofErr w:type="spellStart"/>
      <w:r w:rsidRPr="00DE36DF">
        <w:rPr>
          <w:sz w:val="28"/>
          <w:szCs w:val="28"/>
        </w:rPr>
        <w:t>Петростата</w:t>
      </w:r>
      <w:proofErr w:type="spellEnd"/>
      <w:r w:rsidRPr="00DE36DF">
        <w:rPr>
          <w:sz w:val="28"/>
          <w:szCs w:val="28"/>
        </w:rPr>
        <w:t>.</w:t>
      </w:r>
    </w:p>
    <w:p w14:paraId="7826AB02" w14:textId="7DD8BE76" w:rsidR="00DB7B5C" w:rsidRPr="00C01139" w:rsidRDefault="00425D78" w:rsidP="0071751F">
      <w:pPr>
        <w:ind w:firstLine="567"/>
        <w:jc w:val="both"/>
        <w:rPr>
          <w:sz w:val="28"/>
          <w:szCs w:val="28"/>
        </w:rPr>
      </w:pPr>
      <w:r w:rsidRPr="00425D78">
        <w:rPr>
          <w:sz w:val="28"/>
          <w:szCs w:val="28"/>
        </w:rPr>
        <w:t xml:space="preserve">- во исполнение областного закона Ленинградской области от 13.10.2006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 отделом проводятся контрольные мероприятия по составлению протоколов об административных правонарушениях, в том числе с совместно с сотрудниками ОМВД </w:t>
      </w:r>
      <w:proofErr w:type="spellStart"/>
      <w:r w:rsidRPr="00425D78">
        <w:rPr>
          <w:sz w:val="28"/>
          <w:szCs w:val="28"/>
        </w:rPr>
        <w:t>г.Гатчины</w:t>
      </w:r>
      <w:proofErr w:type="spellEnd"/>
      <w:r w:rsidRPr="00425D78">
        <w:rPr>
          <w:sz w:val="28"/>
          <w:szCs w:val="28"/>
        </w:rPr>
        <w:t>.</w:t>
      </w:r>
    </w:p>
    <w:p w14:paraId="7E7B5F43" w14:textId="77777777" w:rsidR="0071751F" w:rsidRPr="00C01139" w:rsidRDefault="0071751F" w:rsidP="0071751F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t>Основные задачи в 202</w:t>
      </w:r>
      <w:r w:rsidR="003411F3">
        <w:rPr>
          <w:sz w:val="28"/>
          <w:szCs w:val="28"/>
        </w:rPr>
        <w:t>3</w:t>
      </w:r>
      <w:r w:rsidR="00BA471C" w:rsidRPr="00C01139">
        <w:rPr>
          <w:sz w:val="28"/>
          <w:szCs w:val="28"/>
        </w:rPr>
        <w:t xml:space="preserve"> </w:t>
      </w:r>
      <w:r w:rsidRPr="00C01139">
        <w:rPr>
          <w:sz w:val="28"/>
          <w:szCs w:val="28"/>
        </w:rPr>
        <w:t xml:space="preserve">году в сфере потребительского рынка: </w:t>
      </w:r>
    </w:p>
    <w:p w14:paraId="5E029123" w14:textId="77777777" w:rsidR="0071751F" w:rsidRPr="00C01139" w:rsidRDefault="0071751F" w:rsidP="0071751F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t>-предоставление потребителям широкого ассортимента качественной продукции по доступным ценам,</w:t>
      </w:r>
    </w:p>
    <w:p w14:paraId="2386D90A" w14:textId="77777777" w:rsidR="0071751F" w:rsidRPr="00C01139" w:rsidRDefault="0071751F" w:rsidP="0071751F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t>-поддержка малого и среднего бизнеса,</w:t>
      </w:r>
    </w:p>
    <w:p w14:paraId="074108A3" w14:textId="77777777" w:rsidR="0071751F" w:rsidRPr="00C01139" w:rsidRDefault="0071751F" w:rsidP="0071751F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t>-нормативно-правовое и информационное обеспечение потребительского рынка,</w:t>
      </w:r>
    </w:p>
    <w:p w14:paraId="64F50AF0" w14:textId="77777777" w:rsidR="0071751F" w:rsidRPr="00C01139" w:rsidRDefault="0071751F" w:rsidP="0071751F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t>-повышение уровня профессиональной подготовки кадров,</w:t>
      </w:r>
    </w:p>
    <w:p w14:paraId="27B17C18" w14:textId="77777777" w:rsidR="0071751F" w:rsidRPr="00C01139" w:rsidRDefault="0071751F" w:rsidP="0071751F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t>-проведение ярмарок, в том числе с привлечением производителей сельскохозяйственной продукции Ленинградской области,</w:t>
      </w:r>
    </w:p>
    <w:p w14:paraId="5EF27591" w14:textId="77777777" w:rsidR="0071751F" w:rsidRPr="00C01139" w:rsidRDefault="0071751F" w:rsidP="0071751F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lastRenderedPageBreak/>
        <w:t>-организация работы с поселениями по формированию ярмарочных площадок и внесения их в справочную общедоступную систему Ленинградской области,</w:t>
      </w:r>
    </w:p>
    <w:p w14:paraId="16951525" w14:textId="77777777" w:rsidR="0071751F" w:rsidRPr="00C01139" w:rsidRDefault="0071751F" w:rsidP="0071751F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t>-продолжение работы по упорядочению схемы и порядка размещения нестационарных торговых объектов мелкорозничной сети,</w:t>
      </w:r>
    </w:p>
    <w:p w14:paraId="7058DB45" w14:textId="77777777" w:rsidR="0071751F" w:rsidRPr="00C01139" w:rsidRDefault="0071751F" w:rsidP="0071751F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t>-продолжение работы по пресечению торговли в местах, не отведенных органами местного самоуправления в установленном порядке,</w:t>
      </w:r>
    </w:p>
    <w:p w14:paraId="1BE0D410" w14:textId="77777777" w:rsidR="0071751F" w:rsidRPr="00C01139" w:rsidRDefault="0071751F" w:rsidP="0071751F">
      <w:pPr>
        <w:ind w:firstLine="567"/>
        <w:jc w:val="both"/>
        <w:rPr>
          <w:sz w:val="28"/>
          <w:szCs w:val="28"/>
        </w:rPr>
      </w:pPr>
      <w:r w:rsidRPr="00C01139">
        <w:rPr>
          <w:sz w:val="28"/>
          <w:szCs w:val="28"/>
        </w:rPr>
        <w:t>-продолжение работы по мониторингу территорий, прилегающих к зданиям, строениям, сооружениям, помещениям и местам, на которых не допускается розничная продажа алкогольной продукции на территории Гатчинского муниципального района.</w:t>
      </w:r>
    </w:p>
    <w:p w14:paraId="1B34362B" w14:textId="77777777" w:rsidR="0071751F" w:rsidRPr="00DE36DF" w:rsidRDefault="0071751F" w:rsidP="0071751F">
      <w:pPr>
        <w:ind w:firstLine="567"/>
        <w:jc w:val="both"/>
        <w:rPr>
          <w:sz w:val="28"/>
          <w:szCs w:val="28"/>
        </w:rPr>
      </w:pPr>
      <w:r w:rsidRPr="00DE36DF">
        <w:rPr>
          <w:sz w:val="28"/>
          <w:szCs w:val="28"/>
        </w:rPr>
        <w:t>Проблемами отрасли являются:</w:t>
      </w:r>
    </w:p>
    <w:p w14:paraId="3D0EC69E" w14:textId="77777777" w:rsidR="0071751F" w:rsidRPr="00DE36DF" w:rsidRDefault="0071751F" w:rsidP="0071751F">
      <w:pPr>
        <w:ind w:firstLine="567"/>
        <w:jc w:val="both"/>
        <w:rPr>
          <w:sz w:val="28"/>
          <w:szCs w:val="28"/>
        </w:rPr>
      </w:pPr>
      <w:r w:rsidRPr="00DE36DF">
        <w:rPr>
          <w:sz w:val="28"/>
          <w:szCs w:val="28"/>
        </w:rPr>
        <w:t>-непривлекательность отдаленных территорий с низкой плотностью населения, низким покупательским спросом для предпринимательской деятельности в сфере оказания услуг населению и общественного питания,</w:t>
      </w:r>
    </w:p>
    <w:p w14:paraId="7AE681AC" w14:textId="77777777" w:rsidR="0071751F" w:rsidRPr="00DE36DF" w:rsidRDefault="0071751F" w:rsidP="0071751F">
      <w:pPr>
        <w:ind w:firstLine="567"/>
        <w:jc w:val="both"/>
        <w:rPr>
          <w:sz w:val="28"/>
          <w:szCs w:val="28"/>
        </w:rPr>
      </w:pPr>
      <w:r w:rsidRPr="00DE36DF">
        <w:rPr>
          <w:sz w:val="28"/>
          <w:szCs w:val="28"/>
        </w:rPr>
        <w:t>-снижение потребительского спроса, ввиду снижения уровня платежеспособности населения,</w:t>
      </w:r>
    </w:p>
    <w:p w14:paraId="7809A15C" w14:textId="77777777" w:rsidR="0071751F" w:rsidRPr="00DE36DF" w:rsidRDefault="0071751F" w:rsidP="0071751F">
      <w:pPr>
        <w:ind w:firstLine="567"/>
        <w:jc w:val="both"/>
        <w:rPr>
          <w:sz w:val="28"/>
          <w:szCs w:val="28"/>
        </w:rPr>
      </w:pPr>
      <w:r w:rsidRPr="00DE36DF">
        <w:rPr>
          <w:sz w:val="28"/>
          <w:szCs w:val="28"/>
        </w:rPr>
        <w:t>-отсутствие свободных денежных средств у субъектов малого и среднего предпринимательства для развития и модернизации, высокие ставки по кредитам,</w:t>
      </w:r>
    </w:p>
    <w:p w14:paraId="24804C9F" w14:textId="77777777" w:rsidR="0071751F" w:rsidRPr="00DE36DF" w:rsidRDefault="0071751F" w:rsidP="0071751F">
      <w:pPr>
        <w:ind w:firstLine="567"/>
        <w:jc w:val="both"/>
        <w:rPr>
          <w:sz w:val="28"/>
          <w:szCs w:val="28"/>
        </w:rPr>
      </w:pPr>
      <w:r w:rsidRPr="00DE36DF">
        <w:rPr>
          <w:sz w:val="28"/>
          <w:szCs w:val="28"/>
        </w:rPr>
        <w:t>-повышение производителями и поставщиками отпускных цен,</w:t>
      </w:r>
    </w:p>
    <w:p w14:paraId="69082F86" w14:textId="77777777" w:rsidR="0071751F" w:rsidRPr="00C01139" w:rsidRDefault="0071751F" w:rsidP="0071751F">
      <w:pPr>
        <w:ind w:firstLine="567"/>
        <w:jc w:val="both"/>
        <w:rPr>
          <w:sz w:val="28"/>
          <w:szCs w:val="28"/>
        </w:rPr>
      </w:pPr>
      <w:r w:rsidRPr="00DE36DF">
        <w:rPr>
          <w:sz w:val="28"/>
          <w:szCs w:val="28"/>
        </w:rPr>
        <w:t>-рост цен на энергоносители, коммунальные платежи и повышение арендной платы за помещения сдерживает ра</w:t>
      </w:r>
      <w:r w:rsidR="002F1FBF" w:rsidRPr="00DE36DF">
        <w:rPr>
          <w:sz w:val="28"/>
          <w:szCs w:val="28"/>
        </w:rPr>
        <w:t>звитие малых и микропредприятий.</w:t>
      </w:r>
    </w:p>
    <w:p w14:paraId="7A14179F" w14:textId="77777777" w:rsidR="0071751F" w:rsidRPr="00C01139" w:rsidRDefault="0071751F" w:rsidP="0071751F">
      <w:pPr>
        <w:jc w:val="both"/>
        <w:rPr>
          <w:spacing w:val="-6"/>
          <w:sz w:val="28"/>
          <w:szCs w:val="28"/>
        </w:rPr>
      </w:pPr>
    </w:p>
    <w:p w14:paraId="6FDB16D6" w14:textId="77777777" w:rsidR="00FD1B1B" w:rsidRPr="00292B28" w:rsidRDefault="00292B28" w:rsidP="00FD1B1B">
      <w:pPr>
        <w:jc w:val="center"/>
        <w:rPr>
          <w:b/>
          <w:sz w:val="28"/>
          <w:szCs w:val="28"/>
        </w:rPr>
      </w:pPr>
      <w:r w:rsidRPr="00292B28">
        <w:rPr>
          <w:b/>
          <w:sz w:val="28"/>
          <w:szCs w:val="28"/>
        </w:rPr>
        <w:t xml:space="preserve">2. </w:t>
      </w:r>
      <w:r w:rsidR="00FD1B1B" w:rsidRPr="00292B28">
        <w:rPr>
          <w:b/>
          <w:sz w:val="28"/>
          <w:szCs w:val="28"/>
        </w:rPr>
        <w:t>Предпринимательство</w:t>
      </w:r>
      <w:r>
        <w:rPr>
          <w:b/>
          <w:sz w:val="28"/>
          <w:szCs w:val="28"/>
        </w:rPr>
        <w:t>.</w:t>
      </w:r>
    </w:p>
    <w:p w14:paraId="4307F51F" w14:textId="1F08A4ED" w:rsidR="00FD1B1B" w:rsidRPr="007139EC" w:rsidRDefault="00FD1B1B" w:rsidP="00FD1B1B">
      <w:pPr>
        <w:ind w:firstLine="567"/>
        <w:jc w:val="both"/>
        <w:rPr>
          <w:sz w:val="28"/>
          <w:szCs w:val="28"/>
        </w:rPr>
      </w:pPr>
      <w:r w:rsidRPr="007139EC">
        <w:rPr>
          <w:sz w:val="28"/>
          <w:szCs w:val="28"/>
        </w:rPr>
        <w:t>Количество субъектов малого и среднего предпринимательства в Гатчинском муниципальном районе на 10.</w:t>
      </w:r>
      <w:r w:rsidR="008503B7">
        <w:rPr>
          <w:sz w:val="28"/>
          <w:szCs w:val="28"/>
        </w:rPr>
        <w:t>0</w:t>
      </w:r>
      <w:r w:rsidR="00425D78">
        <w:rPr>
          <w:sz w:val="28"/>
          <w:szCs w:val="28"/>
        </w:rPr>
        <w:t>4</w:t>
      </w:r>
      <w:r w:rsidRPr="007139EC">
        <w:rPr>
          <w:sz w:val="28"/>
          <w:szCs w:val="28"/>
        </w:rPr>
        <w:t>.202</w:t>
      </w:r>
      <w:r w:rsidR="008503B7">
        <w:rPr>
          <w:sz w:val="28"/>
          <w:szCs w:val="28"/>
        </w:rPr>
        <w:t>3</w:t>
      </w:r>
      <w:r w:rsidRPr="007139EC">
        <w:rPr>
          <w:sz w:val="28"/>
          <w:szCs w:val="28"/>
        </w:rPr>
        <w:t xml:space="preserve"> – </w:t>
      </w:r>
      <w:r w:rsidR="00AF0051" w:rsidRPr="00AF0051">
        <w:rPr>
          <w:sz w:val="28"/>
          <w:szCs w:val="28"/>
        </w:rPr>
        <w:t>9</w:t>
      </w:r>
      <w:r w:rsidR="00203300" w:rsidRPr="00203300">
        <w:rPr>
          <w:sz w:val="28"/>
          <w:szCs w:val="28"/>
        </w:rPr>
        <w:t>814</w:t>
      </w:r>
      <w:r w:rsidR="008503B7">
        <w:rPr>
          <w:sz w:val="28"/>
          <w:szCs w:val="28"/>
        </w:rPr>
        <w:t xml:space="preserve"> </w:t>
      </w:r>
      <w:r w:rsidRPr="007139EC">
        <w:rPr>
          <w:sz w:val="28"/>
          <w:szCs w:val="28"/>
        </w:rPr>
        <w:t>хозяйствующих субъектов по данным Единого реестра субъектов малого и среднего предпринимательства, который ведется Федеральной налоговой службой,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7"/>
        <w:gridCol w:w="1592"/>
        <w:gridCol w:w="1691"/>
        <w:gridCol w:w="1611"/>
        <w:gridCol w:w="1624"/>
      </w:tblGrid>
      <w:tr w:rsidR="00D11E19" w:rsidRPr="00D11E19" w14:paraId="7DF2D35E" w14:textId="77777777" w:rsidTr="003445C5"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76F6" w14:textId="77777777" w:rsidR="00FD1B1B" w:rsidRPr="00D11E19" w:rsidRDefault="00FD1B1B" w:rsidP="003445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540786E5" w14:textId="77777777" w:rsidR="00FD1B1B" w:rsidRPr="00D11E19" w:rsidRDefault="00FD1B1B" w:rsidP="003445C5">
            <w:pPr>
              <w:spacing w:line="276" w:lineRule="auto"/>
              <w:rPr>
                <w:lang w:eastAsia="en-US"/>
              </w:rPr>
            </w:pPr>
            <w:r w:rsidRPr="00D11E19">
              <w:rPr>
                <w:lang w:eastAsia="en-US"/>
              </w:rPr>
              <w:t>Юридические лица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FCEDCA1" w14:textId="77777777" w:rsidR="00FD1B1B" w:rsidRPr="00D11E19" w:rsidRDefault="00FD1B1B" w:rsidP="003445C5">
            <w:pPr>
              <w:spacing w:line="276" w:lineRule="auto"/>
              <w:rPr>
                <w:lang w:eastAsia="en-US"/>
              </w:rPr>
            </w:pPr>
            <w:r w:rsidRPr="00D11E19">
              <w:rPr>
                <w:lang w:eastAsia="en-US"/>
              </w:rPr>
              <w:t>Индивидуальные предприниматели</w:t>
            </w:r>
          </w:p>
        </w:tc>
      </w:tr>
      <w:tr w:rsidR="00D11E19" w:rsidRPr="00D11E19" w14:paraId="5072B6BD" w14:textId="77777777" w:rsidTr="003445C5"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B6E8" w14:textId="77777777" w:rsidR="00FD1B1B" w:rsidRPr="00D11E19" w:rsidRDefault="00FD1B1B" w:rsidP="003445C5">
            <w:pPr>
              <w:rPr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0EACC291" w14:textId="77777777" w:rsidR="00FD1B1B" w:rsidRPr="00D11E19" w:rsidRDefault="00FD1B1B" w:rsidP="003445C5">
            <w:pPr>
              <w:spacing w:line="276" w:lineRule="auto"/>
              <w:rPr>
                <w:lang w:eastAsia="en-US"/>
              </w:rPr>
            </w:pPr>
            <w:r w:rsidRPr="00D11E19">
              <w:rPr>
                <w:lang w:eastAsia="en-US"/>
              </w:rPr>
              <w:t>Гатчинский район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4B0F7D1" w14:textId="77777777" w:rsidR="00FD1B1B" w:rsidRPr="00D11E19" w:rsidRDefault="00FD1B1B" w:rsidP="003445C5">
            <w:pPr>
              <w:spacing w:line="276" w:lineRule="auto"/>
              <w:rPr>
                <w:lang w:eastAsia="en-US"/>
              </w:rPr>
            </w:pPr>
            <w:r w:rsidRPr="00D11E19">
              <w:rPr>
                <w:lang w:eastAsia="en-US"/>
              </w:rPr>
              <w:t>В том числе город Гатчина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41FB6CF" w14:textId="77777777" w:rsidR="00FD1B1B" w:rsidRPr="00D11E19" w:rsidRDefault="00FD1B1B" w:rsidP="003445C5">
            <w:pPr>
              <w:spacing w:line="276" w:lineRule="auto"/>
              <w:rPr>
                <w:lang w:eastAsia="en-US"/>
              </w:rPr>
            </w:pPr>
            <w:r w:rsidRPr="00D11E19">
              <w:rPr>
                <w:lang w:eastAsia="en-US"/>
              </w:rPr>
              <w:t>Гатчинский район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FB511A5" w14:textId="77777777" w:rsidR="00FD1B1B" w:rsidRPr="00D11E19" w:rsidRDefault="00FD1B1B" w:rsidP="003445C5">
            <w:pPr>
              <w:spacing w:line="276" w:lineRule="auto"/>
              <w:rPr>
                <w:lang w:eastAsia="en-US"/>
              </w:rPr>
            </w:pPr>
            <w:r w:rsidRPr="00D11E19">
              <w:rPr>
                <w:lang w:eastAsia="en-US"/>
              </w:rPr>
              <w:t>В том числе город Гатчина</w:t>
            </w:r>
          </w:p>
        </w:tc>
      </w:tr>
      <w:tr w:rsidR="00236C30" w:rsidRPr="00D11E19" w14:paraId="5EB5C714" w14:textId="77777777" w:rsidTr="003445C5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5BA8" w14:textId="77777777" w:rsidR="00236C30" w:rsidRPr="00D11E19" w:rsidRDefault="00236C30" w:rsidP="003445C5">
            <w:pPr>
              <w:spacing w:line="276" w:lineRule="auto"/>
              <w:rPr>
                <w:lang w:eastAsia="en-US"/>
              </w:rPr>
            </w:pPr>
            <w:r w:rsidRPr="00D11E19">
              <w:rPr>
                <w:lang w:eastAsia="en-US"/>
              </w:rPr>
              <w:t>ВСЕГО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9E248F" w14:textId="33E517FB" w:rsidR="00236C30" w:rsidRPr="00AF0051" w:rsidRDefault="00E64821" w:rsidP="00E6482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3147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ED4457" w14:textId="0EC325BF" w:rsidR="00236C30" w:rsidRPr="008958A1" w:rsidRDefault="008958A1" w:rsidP="003445C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1773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636E89" w14:textId="669234B9" w:rsidR="00236C30" w:rsidRPr="00B62548" w:rsidRDefault="00E64821" w:rsidP="00E6482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666</w:t>
            </w:r>
            <w:r w:rsidR="00B62548">
              <w:rPr>
                <w:lang w:val="en-US" w:eastAsia="en-US"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9448B4" w14:textId="79DC2FED" w:rsidR="00236C30" w:rsidRPr="005435E9" w:rsidRDefault="005435E9" w:rsidP="005435E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28</w:t>
            </w:r>
            <w:r>
              <w:rPr>
                <w:lang w:val="en-US" w:eastAsia="en-US"/>
              </w:rPr>
              <w:t>11</w:t>
            </w:r>
          </w:p>
        </w:tc>
      </w:tr>
      <w:tr w:rsidR="00236C30" w:rsidRPr="00D11E19" w14:paraId="344165B5" w14:textId="77777777" w:rsidTr="003445C5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321D" w14:textId="77777777" w:rsidR="00236C30" w:rsidRPr="00D11E19" w:rsidRDefault="00236C30" w:rsidP="003445C5">
            <w:pPr>
              <w:spacing w:line="276" w:lineRule="auto"/>
              <w:rPr>
                <w:lang w:eastAsia="en-US"/>
              </w:rPr>
            </w:pPr>
            <w:r w:rsidRPr="00D11E19">
              <w:rPr>
                <w:lang w:eastAsia="en-US"/>
              </w:rPr>
              <w:t>Средние предприятия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C6794C" w14:textId="19207568" w:rsidR="00236C30" w:rsidRPr="00AF0051" w:rsidRDefault="00236C30" w:rsidP="00AF005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A282EB4" w14:textId="16FA16FD" w:rsidR="00236C30" w:rsidRPr="005056B4" w:rsidRDefault="00236C30" w:rsidP="00344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947DEB" w14:textId="77777777" w:rsidR="00236C30" w:rsidRPr="00D11E19" w:rsidRDefault="00236C30" w:rsidP="00344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AF61A3" w14:textId="6208D014" w:rsidR="00236C30" w:rsidRPr="005056B4" w:rsidRDefault="00236C30" w:rsidP="003445C5">
            <w:pPr>
              <w:spacing w:line="276" w:lineRule="auto"/>
              <w:jc w:val="center"/>
              <w:rPr>
                <w:lang w:eastAsia="en-US"/>
              </w:rPr>
            </w:pPr>
            <w:r w:rsidRPr="005056B4">
              <w:rPr>
                <w:lang w:eastAsia="en-US"/>
              </w:rPr>
              <w:t>0</w:t>
            </w:r>
          </w:p>
        </w:tc>
      </w:tr>
      <w:tr w:rsidR="00236C30" w:rsidRPr="00D11E19" w14:paraId="0CF64F10" w14:textId="77777777" w:rsidTr="00D4462F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B322" w14:textId="77777777" w:rsidR="00236C30" w:rsidRPr="00D11E19" w:rsidRDefault="00236C30" w:rsidP="003445C5">
            <w:pPr>
              <w:spacing w:line="276" w:lineRule="auto"/>
              <w:rPr>
                <w:lang w:eastAsia="en-US"/>
              </w:rPr>
            </w:pPr>
            <w:r w:rsidRPr="00D11E19">
              <w:rPr>
                <w:lang w:eastAsia="en-US"/>
              </w:rPr>
              <w:t>Малые предприятия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2D00C27" w14:textId="77777777" w:rsidR="00236C30" w:rsidRPr="00D11E19" w:rsidRDefault="00236C30" w:rsidP="00344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6EDDC1" w14:textId="5F618CE8" w:rsidR="00236C30" w:rsidRPr="008958A1" w:rsidRDefault="008958A1" w:rsidP="003445C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3E07B0" w14:textId="56A9755C" w:rsidR="00236C30" w:rsidRPr="0022301F" w:rsidRDefault="00E64821" w:rsidP="0010754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B9A4DC" w14:textId="7D5CF149" w:rsidR="00236C30" w:rsidRPr="005435E9" w:rsidRDefault="00236C30" w:rsidP="005435E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 w:rsidR="005435E9">
              <w:rPr>
                <w:lang w:val="en-US" w:eastAsia="en-US"/>
              </w:rPr>
              <w:t>7</w:t>
            </w:r>
          </w:p>
        </w:tc>
      </w:tr>
      <w:tr w:rsidR="00236C30" w:rsidRPr="00D11E19" w14:paraId="09F615A4" w14:textId="77777777" w:rsidTr="00D4462F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43D9B3" w14:textId="77777777" w:rsidR="00236C30" w:rsidRPr="00D11E19" w:rsidRDefault="00236C30" w:rsidP="003445C5">
            <w:pPr>
              <w:spacing w:line="276" w:lineRule="auto"/>
              <w:rPr>
                <w:lang w:eastAsia="en-US"/>
              </w:rPr>
            </w:pPr>
            <w:r w:rsidRPr="00D11E19">
              <w:rPr>
                <w:lang w:eastAsia="en-US"/>
              </w:rPr>
              <w:t>Микропредприятия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26038D68" w14:textId="0C4C065F" w:rsidR="00236C30" w:rsidRPr="00AF0051" w:rsidRDefault="00E64821" w:rsidP="008503B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2863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71549F67" w14:textId="006C8EE9" w:rsidR="00236C30" w:rsidRPr="008958A1" w:rsidRDefault="008958A1" w:rsidP="008958A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lang w:val="en-US" w:eastAsia="en-US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56741D57" w14:textId="45EF0076" w:rsidR="00236C30" w:rsidRPr="0022301F" w:rsidRDefault="00236C30" w:rsidP="00E64821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  <w:r w:rsidR="00E64821">
              <w:rPr>
                <w:lang w:val="en-US" w:eastAsia="en-US"/>
              </w:rPr>
              <w:t>617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3F96743D" w14:textId="5969EA82" w:rsidR="00236C30" w:rsidRPr="005435E9" w:rsidRDefault="005435E9" w:rsidP="003445C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2774</w:t>
            </w:r>
          </w:p>
        </w:tc>
      </w:tr>
      <w:tr w:rsidR="00236C30" w:rsidRPr="00D11E19" w14:paraId="761C80C2" w14:textId="77777777" w:rsidTr="00D4462F">
        <w:tc>
          <w:tcPr>
            <w:tcW w:w="15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103" w14:textId="77777777" w:rsidR="00236C30" w:rsidRPr="00D11E19" w:rsidRDefault="00236C30" w:rsidP="003445C5">
            <w:pPr>
              <w:spacing w:line="276" w:lineRule="auto"/>
              <w:rPr>
                <w:lang w:eastAsia="en-US"/>
              </w:rPr>
            </w:pPr>
            <w:r w:rsidRPr="00D11E19">
              <w:rPr>
                <w:lang w:eastAsia="en-US"/>
              </w:rPr>
              <w:t>в т.ч. вновь созданные</w:t>
            </w:r>
          </w:p>
        </w:tc>
        <w:tc>
          <w:tcPr>
            <w:tcW w:w="8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9CCFEEB" w14:textId="3319FCC8" w:rsidR="00236C30" w:rsidRPr="0022301F" w:rsidRDefault="00E64821" w:rsidP="008503B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482</w:t>
            </w:r>
          </w:p>
        </w:tc>
        <w:tc>
          <w:tcPr>
            <w:tcW w:w="9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5C3425" w14:textId="63C8152B" w:rsidR="00236C30" w:rsidRPr="005056B4" w:rsidRDefault="00236C30" w:rsidP="00344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8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4940D0" w14:textId="5A7DA356" w:rsidR="00236C30" w:rsidRPr="009055E5" w:rsidRDefault="00E64821" w:rsidP="003445C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1717</w:t>
            </w:r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484F71" w14:textId="42E0449A" w:rsidR="00236C30" w:rsidRPr="005435E9" w:rsidRDefault="005435E9" w:rsidP="003445C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615</w:t>
            </w:r>
          </w:p>
        </w:tc>
      </w:tr>
    </w:tbl>
    <w:p w14:paraId="3E848318" w14:textId="77777777" w:rsidR="00A05D62" w:rsidRDefault="00A05D62" w:rsidP="00D11E19">
      <w:pPr>
        <w:jc w:val="both"/>
        <w:rPr>
          <w:noProof/>
        </w:rPr>
      </w:pPr>
    </w:p>
    <w:p w14:paraId="7CA609DB" w14:textId="77777777" w:rsidR="00F970C8" w:rsidRDefault="00F970C8" w:rsidP="00D11E19">
      <w:pPr>
        <w:jc w:val="both"/>
        <w:rPr>
          <w:noProof/>
        </w:rPr>
      </w:pPr>
    </w:p>
    <w:p w14:paraId="08D5041C" w14:textId="6359A6AC" w:rsidR="00F970C8" w:rsidRPr="00D11E19" w:rsidRDefault="004B15A4" w:rsidP="00D11E19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015C0B40" wp14:editId="432845E8">
            <wp:extent cx="5653087" cy="3064669"/>
            <wp:effectExtent l="0" t="0" r="24130" b="2159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A5BB86B-2899-4728-8C49-FF9F4AD8E5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0B48DC" w14:textId="77777777" w:rsidR="00D11E19" w:rsidRPr="00D11E19" w:rsidRDefault="00D11E19" w:rsidP="00A05D62">
      <w:pPr>
        <w:tabs>
          <w:tab w:val="left" w:pos="851"/>
        </w:tabs>
        <w:jc w:val="both"/>
        <w:rPr>
          <w:sz w:val="28"/>
          <w:szCs w:val="28"/>
        </w:rPr>
      </w:pPr>
    </w:p>
    <w:p w14:paraId="1EF723F3" w14:textId="77777777" w:rsidR="00FC7986" w:rsidRDefault="00FC7986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A2AD6DB" w14:textId="4D8F0871" w:rsidR="00FC7986" w:rsidRDefault="00425D78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первом квартале</w:t>
      </w:r>
      <w:r w:rsidR="00FC798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FC7986">
        <w:rPr>
          <w:sz w:val="28"/>
          <w:szCs w:val="28"/>
        </w:rPr>
        <w:t xml:space="preserve"> года наблюдался рост субъектов малого и среднего предпринимательства в </w:t>
      </w:r>
      <w:r w:rsidR="00005069">
        <w:rPr>
          <w:sz w:val="28"/>
          <w:szCs w:val="28"/>
        </w:rPr>
        <w:t>Г</w:t>
      </w:r>
      <w:r w:rsidR="00FC7986">
        <w:rPr>
          <w:sz w:val="28"/>
          <w:szCs w:val="28"/>
        </w:rPr>
        <w:t>атчинском муниципальном районе</w:t>
      </w:r>
      <w:r w:rsidR="00005069">
        <w:rPr>
          <w:sz w:val="28"/>
          <w:szCs w:val="28"/>
        </w:rPr>
        <w:t xml:space="preserve">, который </w:t>
      </w:r>
      <w:r w:rsidR="00005069" w:rsidRPr="00DE6A7C">
        <w:rPr>
          <w:sz w:val="28"/>
          <w:szCs w:val="28"/>
        </w:rPr>
        <w:t xml:space="preserve">составил </w:t>
      </w:r>
      <w:r w:rsidR="00DE6A7C" w:rsidRPr="00DE6A7C">
        <w:rPr>
          <w:sz w:val="28"/>
          <w:szCs w:val="28"/>
        </w:rPr>
        <w:t>4,79</w:t>
      </w:r>
      <w:r w:rsidR="00005069" w:rsidRPr="00DE6A7C">
        <w:rPr>
          <w:sz w:val="28"/>
          <w:szCs w:val="28"/>
        </w:rPr>
        <w:t>% по</w:t>
      </w:r>
      <w:r w:rsidR="00005069">
        <w:rPr>
          <w:sz w:val="28"/>
          <w:szCs w:val="28"/>
        </w:rPr>
        <w:t xml:space="preserve"> отношению к 202</w:t>
      </w:r>
      <w:r>
        <w:rPr>
          <w:sz w:val="28"/>
          <w:szCs w:val="28"/>
        </w:rPr>
        <w:t>2</w:t>
      </w:r>
      <w:r w:rsidR="00005069">
        <w:rPr>
          <w:sz w:val="28"/>
          <w:szCs w:val="28"/>
        </w:rPr>
        <w:t xml:space="preserve"> году.</w:t>
      </w:r>
    </w:p>
    <w:p w14:paraId="28813E2A" w14:textId="77777777" w:rsidR="00FC7986" w:rsidRDefault="00FC7986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31D3598" w14:textId="77777777" w:rsidR="00FD1B1B" w:rsidRPr="00BF724D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F724D">
        <w:rPr>
          <w:sz w:val="28"/>
          <w:szCs w:val="28"/>
        </w:rPr>
        <w:t>На территории Гатчинского муниципального района в целом и в каждом поселении отдельно, действуют муниципальные программы, предусматривающие мероприятия по поддержке предпринимательства.</w:t>
      </w:r>
    </w:p>
    <w:p w14:paraId="429E0486" w14:textId="1E8FC7E6" w:rsidR="00FD1B1B" w:rsidRPr="00571DE1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71DE1">
        <w:rPr>
          <w:sz w:val="28"/>
          <w:szCs w:val="28"/>
        </w:rPr>
        <w:t>Фактические расходы консолидированного бюджета по поселениям и району на поддержку предпринимательства в 202</w:t>
      </w:r>
      <w:r w:rsidR="00425D78">
        <w:rPr>
          <w:sz w:val="28"/>
          <w:szCs w:val="28"/>
        </w:rPr>
        <w:t xml:space="preserve">3 году </w:t>
      </w:r>
      <w:r w:rsidRPr="00571DE1">
        <w:rPr>
          <w:sz w:val="28"/>
          <w:szCs w:val="28"/>
        </w:rPr>
        <w:t xml:space="preserve"> запланированы в сумме </w:t>
      </w:r>
      <w:r w:rsidR="00425D78">
        <w:rPr>
          <w:sz w:val="28"/>
          <w:szCs w:val="28"/>
        </w:rPr>
        <w:t>19 881,31</w:t>
      </w:r>
      <w:r w:rsidRPr="00571DE1">
        <w:rPr>
          <w:sz w:val="28"/>
          <w:szCs w:val="28"/>
        </w:rPr>
        <w:t xml:space="preserve"> тыс. руб., исполнение </w:t>
      </w:r>
      <w:r w:rsidR="001820A3" w:rsidRPr="00571DE1">
        <w:rPr>
          <w:sz w:val="28"/>
          <w:szCs w:val="28"/>
        </w:rPr>
        <w:t xml:space="preserve">по итогам </w:t>
      </w:r>
      <w:r w:rsidR="00425D78">
        <w:rPr>
          <w:sz w:val="28"/>
          <w:szCs w:val="28"/>
        </w:rPr>
        <w:t xml:space="preserve">1 квартала </w:t>
      </w:r>
      <w:r w:rsidR="00BF724D" w:rsidRPr="00571DE1">
        <w:rPr>
          <w:sz w:val="28"/>
          <w:szCs w:val="28"/>
        </w:rPr>
        <w:t>202</w:t>
      </w:r>
      <w:r w:rsidR="00425D78">
        <w:rPr>
          <w:sz w:val="28"/>
          <w:szCs w:val="28"/>
        </w:rPr>
        <w:t>3</w:t>
      </w:r>
      <w:r w:rsidR="00BF724D" w:rsidRPr="00571DE1">
        <w:rPr>
          <w:sz w:val="28"/>
          <w:szCs w:val="28"/>
        </w:rPr>
        <w:t xml:space="preserve"> года</w:t>
      </w:r>
      <w:r w:rsidR="00FC7986">
        <w:rPr>
          <w:sz w:val="28"/>
          <w:szCs w:val="28"/>
        </w:rPr>
        <w:t xml:space="preserve"> </w:t>
      </w:r>
      <w:r w:rsidRPr="00571DE1">
        <w:rPr>
          <w:sz w:val="28"/>
          <w:szCs w:val="28"/>
        </w:rPr>
        <w:t xml:space="preserve">составило </w:t>
      </w:r>
      <w:r w:rsidR="00425D78">
        <w:rPr>
          <w:sz w:val="28"/>
          <w:szCs w:val="28"/>
        </w:rPr>
        <w:t>1 720,00</w:t>
      </w:r>
      <w:r w:rsidRPr="00571DE1">
        <w:rPr>
          <w:sz w:val="28"/>
          <w:szCs w:val="28"/>
        </w:rPr>
        <w:t xml:space="preserve"> тыс. руб. или </w:t>
      </w:r>
      <w:r w:rsidR="00425D78">
        <w:rPr>
          <w:sz w:val="28"/>
          <w:szCs w:val="28"/>
        </w:rPr>
        <w:t>8,65</w:t>
      </w:r>
      <w:r w:rsidRPr="00571DE1">
        <w:rPr>
          <w:sz w:val="28"/>
          <w:szCs w:val="28"/>
        </w:rPr>
        <w:t xml:space="preserve">%. </w:t>
      </w:r>
    </w:p>
    <w:p w14:paraId="43206FB5" w14:textId="24FE42F0" w:rsidR="00FD1B1B" w:rsidRPr="00571DE1" w:rsidRDefault="00FD1B1B" w:rsidP="00FD1B1B">
      <w:pPr>
        <w:tabs>
          <w:tab w:val="left" w:pos="851"/>
          <w:tab w:val="left" w:pos="4057"/>
        </w:tabs>
        <w:ind w:firstLine="567"/>
        <w:jc w:val="both"/>
        <w:rPr>
          <w:sz w:val="28"/>
          <w:szCs w:val="28"/>
        </w:rPr>
      </w:pPr>
      <w:r w:rsidRPr="000E7451">
        <w:rPr>
          <w:sz w:val="28"/>
          <w:szCs w:val="28"/>
        </w:rPr>
        <w:t>В Гатчинском муниципальном районе в 20</w:t>
      </w:r>
      <w:r w:rsidR="008F0181" w:rsidRPr="000E7451">
        <w:rPr>
          <w:sz w:val="28"/>
          <w:szCs w:val="28"/>
        </w:rPr>
        <w:t>2</w:t>
      </w:r>
      <w:r w:rsidR="00353F90">
        <w:rPr>
          <w:sz w:val="28"/>
          <w:szCs w:val="28"/>
        </w:rPr>
        <w:t>3</w:t>
      </w:r>
      <w:r w:rsidRPr="000E7451">
        <w:rPr>
          <w:sz w:val="28"/>
          <w:szCs w:val="28"/>
        </w:rPr>
        <w:t xml:space="preserve"> году действ</w:t>
      </w:r>
      <w:r w:rsidR="001820A3" w:rsidRPr="000E7451">
        <w:rPr>
          <w:sz w:val="28"/>
          <w:szCs w:val="28"/>
        </w:rPr>
        <w:t>у</w:t>
      </w:r>
      <w:r w:rsidR="008F0181" w:rsidRPr="000E7451">
        <w:rPr>
          <w:sz w:val="28"/>
          <w:szCs w:val="28"/>
        </w:rPr>
        <w:t>ю</w:t>
      </w:r>
      <w:r w:rsidR="001820A3" w:rsidRPr="000E7451">
        <w:rPr>
          <w:sz w:val="28"/>
          <w:szCs w:val="28"/>
        </w:rPr>
        <w:t>т</w:t>
      </w:r>
      <w:r w:rsidR="002D60CD">
        <w:rPr>
          <w:sz w:val="28"/>
          <w:szCs w:val="28"/>
        </w:rPr>
        <w:t xml:space="preserve"> </w:t>
      </w:r>
      <w:r w:rsidR="008F0181" w:rsidRPr="000E7451">
        <w:rPr>
          <w:sz w:val="28"/>
          <w:szCs w:val="28"/>
        </w:rPr>
        <w:t>проектные и процессные мероприятия по поддержке и развитию пре</w:t>
      </w:r>
      <w:r w:rsidRPr="000E7451">
        <w:rPr>
          <w:sz w:val="28"/>
          <w:szCs w:val="28"/>
        </w:rPr>
        <w:t>дпринимательства муниципальной программы «Стимулирование экономической активности в Гатчинском муниципальном районе», утвержденной постановлением администрации Гатчинского муниципального района от 1</w:t>
      </w:r>
      <w:r w:rsidR="001820A3" w:rsidRPr="000E7451">
        <w:rPr>
          <w:sz w:val="28"/>
          <w:szCs w:val="28"/>
        </w:rPr>
        <w:t>9</w:t>
      </w:r>
      <w:r w:rsidRPr="000E7451">
        <w:rPr>
          <w:sz w:val="28"/>
          <w:szCs w:val="28"/>
        </w:rPr>
        <w:t>.</w:t>
      </w:r>
      <w:r w:rsidR="001820A3" w:rsidRPr="000E7451">
        <w:rPr>
          <w:sz w:val="28"/>
          <w:szCs w:val="28"/>
        </w:rPr>
        <w:t>10</w:t>
      </w:r>
      <w:r w:rsidRPr="000E7451">
        <w:rPr>
          <w:sz w:val="28"/>
          <w:szCs w:val="28"/>
        </w:rPr>
        <w:t>.20</w:t>
      </w:r>
      <w:r w:rsidR="001820A3" w:rsidRPr="000E7451">
        <w:rPr>
          <w:sz w:val="28"/>
          <w:szCs w:val="28"/>
        </w:rPr>
        <w:t>20</w:t>
      </w:r>
      <w:r w:rsidRPr="000E7451">
        <w:rPr>
          <w:sz w:val="28"/>
          <w:szCs w:val="28"/>
        </w:rPr>
        <w:t xml:space="preserve">г. № </w:t>
      </w:r>
      <w:r w:rsidR="001820A3" w:rsidRPr="000E7451">
        <w:rPr>
          <w:sz w:val="28"/>
          <w:szCs w:val="28"/>
        </w:rPr>
        <w:t xml:space="preserve">3333 </w:t>
      </w:r>
      <w:r w:rsidRPr="00571DE1">
        <w:rPr>
          <w:sz w:val="28"/>
          <w:szCs w:val="28"/>
        </w:rPr>
        <w:t xml:space="preserve">(с изм.). Общая сумма бюджетных средств, заложенных на </w:t>
      </w:r>
      <w:r w:rsidR="008F0181" w:rsidRPr="00571DE1">
        <w:rPr>
          <w:sz w:val="28"/>
          <w:szCs w:val="28"/>
        </w:rPr>
        <w:t xml:space="preserve">данные </w:t>
      </w:r>
      <w:r w:rsidRPr="00571DE1">
        <w:rPr>
          <w:sz w:val="28"/>
          <w:szCs w:val="28"/>
        </w:rPr>
        <w:t>мероприятия, в 202</w:t>
      </w:r>
      <w:r w:rsidR="008F0181" w:rsidRPr="00571DE1">
        <w:rPr>
          <w:sz w:val="28"/>
          <w:szCs w:val="28"/>
        </w:rPr>
        <w:t>2</w:t>
      </w:r>
      <w:r w:rsidRPr="00571DE1">
        <w:rPr>
          <w:sz w:val="28"/>
          <w:szCs w:val="28"/>
        </w:rPr>
        <w:t xml:space="preserve"> году – </w:t>
      </w:r>
      <w:r w:rsidR="00353F90">
        <w:rPr>
          <w:sz w:val="28"/>
          <w:szCs w:val="28"/>
        </w:rPr>
        <w:t>61 979,87</w:t>
      </w:r>
      <w:r w:rsidR="001820A3" w:rsidRPr="00571DE1">
        <w:rPr>
          <w:sz w:val="28"/>
          <w:szCs w:val="28"/>
        </w:rPr>
        <w:t xml:space="preserve"> тыс. руб</w:t>
      </w:r>
      <w:r w:rsidRPr="00571DE1">
        <w:rPr>
          <w:sz w:val="28"/>
          <w:szCs w:val="28"/>
        </w:rPr>
        <w:t xml:space="preserve">., из них средства местного бюджета – </w:t>
      </w:r>
      <w:r w:rsidR="00353F90" w:rsidRPr="00353F90">
        <w:rPr>
          <w:sz w:val="28"/>
          <w:szCs w:val="28"/>
        </w:rPr>
        <w:t>58</w:t>
      </w:r>
      <w:r w:rsidR="00353F90">
        <w:rPr>
          <w:sz w:val="28"/>
          <w:szCs w:val="28"/>
        </w:rPr>
        <w:t xml:space="preserve"> </w:t>
      </w:r>
      <w:r w:rsidR="00353F90" w:rsidRPr="00353F90">
        <w:rPr>
          <w:sz w:val="28"/>
          <w:szCs w:val="28"/>
        </w:rPr>
        <w:t>710,52</w:t>
      </w:r>
      <w:r w:rsidRPr="00571DE1">
        <w:rPr>
          <w:sz w:val="28"/>
          <w:szCs w:val="28"/>
        </w:rPr>
        <w:t xml:space="preserve">тыс. руб., средства областного бюджета – </w:t>
      </w:r>
      <w:r w:rsidR="00353F90" w:rsidRPr="00353F90">
        <w:rPr>
          <w:sz w:val="28"/>
          <w:szCs w:val="28"/>
        </w:rPr>
        <w:t>3</w:t>
      </w:r>
      <w:r w:rsidR="00353F90">
        <w:rPr>
          <w:sz w:val="28"/>
          <w:szCs w:val="28"/>
        </w:rPr>
        <w:t xml:space="preserve"> </w:t>
      </w:r>
      <w:r w:rsidR="00353F90" w:rsidRPr="00353F90">
        <w:rPr>
          <w:sz w:val="28"/>
          <w:szCs w:val="28"/>
        </w:rPr>
        <w:t>269,34</w:t>
      </w:r>
      <w:r w:rsidRPr="00571DE1">
        <w:rPr>
          <w:sz w:val="28"/>
          <w:szCs w:val="28"/>
        </w:rPr>
        <w:t xml:space="preserve">тыс. руб. Исполнение по программе </w:t>
      </w:r>
      <w:r w:rsidR="00CF49FC">
        <w:rPr>
          <w:sz w:val="28"/>
          <w:szCs w:val="28"/>
        </w:rPr>
        <w:t xml:space="preserve">на 01.04.2023 года </w:t>
      </w:r>
      <w:r w:rsidRPr="00571DE1">
        <w:rPr>
          <w:sz w:val="28"/>
          <w:szCs w:val="28"/>
        </w:rPr>
        <w:t xml:space="preserve">составило </w:t>
      </w:r>
      <w:r w:rsidR="00CF49FC">
        <w:rPr>
          <w:sz w:val="28"/>
          <w:szCs w:val="28"/>
        </w:rPr>
        <w:t>7 586,50</w:t>
      </w:r>
      <w:r w:rsidRPr="00571DE1">
        <w:rPr>
          <w:sz w:val="28"/>
          <w:szCs w:val="28"/>
        </w:rPr>
        <w:t xml:space="preserve"> тыс. руб. или </w:t>
      </w:r>
      <w:r w:rsidR="00CF49FC">
        <w:rPr>
          <w:sz w:val="28"/>
          <w:szCs w:val="28"/>
        </w:rPr>
        <w:t>12</w:t>
      </w:r>
      <w:r w:rsidR="009055ED">
        <w:rPr>
          <w:sz w:val="28"/>
          <w:szCs w:val="28"/>
        </w:rPr>
        <w:t>,0</w:t>
      </w:r>
      <w:r w:rsidRPr="00571DE1">
        <w:rPr>
          <w:sz w:val="28"/>
          <w:szCs w:val="28"/>
        </w:rPr>
        <w:t>%</w:t>
      </w:r>
      <w:r w:rsidR="00CF49FC">
        <w:rPr>
          <w:sz w:val="28"/>
          <w:szCs w:val="28"/>
        </w:rPr>
        <w:t xml:space="preserve"> годового плана</w:t>
      </w:r>
      <w:r w:rsidRPr="00571DE1">
        <w:rPr>
          <w:sz w:val="28"/>
          <w:szCs w:val="28"/>
        </w:rPr>
        <w:t>.</w:t>
      </w:r>
    </w:p>
    <w:p w14:paraId="4E6A433A" w14:textId="77777777" w:rsidR="00FD1B1B" w:rsidRPr="00755F88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55F88">
        <w:rPr>
          <w:sz w:val="28"/>
          <w:szCs w:val="28"/>
        </w:rPr>
        <w:t>Основными мероприятиями муниципальной программы поддержки малого и среднего предпринимательства являются:</w:t>
      </w:r>
    </w:p>
    <w:p w14:paraId="5DA1E50E" w14:textId="77777777" w:rsidR="00FD1B1B" w:rsidRPr="00755F88" w:rsidRDefault="00FD1B1B" w:rsidP="00FD1B1B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5F88">
        <w:rPr>
          <w:sz w:val="28"/>
          <w:szCs w:val="28"/>
        </w:rPr>
        <w:t>Предоставление субсидий для возмещения затрат некоммерческим организациям муниципальной инфраструктуры поддержки предпринимательства.</w:t>
      </w:r>
    </w:p>
    <w:p w14:paraId="26DD33E3" w14:textId="77777777" w:rsidR="00FD1B1B" w:rsidRPr="00755F88" w:rsidRDefault="00FD1B1B" w:rsidP="00FD1B1B">
      <w:pPr>
        <w:pStyle w:val="a7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5F88">
        <w:rPr>
          <w:sz w:val="28"/>
          <w:szCs w:val="28"/>
        </w:rPr>
        <w:t xml:space="preserve">Администрация Гатчинского муниципального района оказывает поддержку некоммерческим организациям муниципальной инфраструктуры </w:t>
      </w:r>
      <w:r w:rsidRPr="00755F88">
        <w:rPr>
          <w:sz w:val="28"/>
          <w:szCs w:val="28"/>
        </w:rPr>
        <w:lastRenderedPageBreak/>
        <w:t>поддержки предпринимательства и таким образом содействует поддержке и развитию малого и среднего бизнеса на территории района.</w:t>
      </w:r>
    </w:p>
    <w:p w14:paraId="0F1C513A" w14:textId="77777777" w:rsidR="00FD1B1B" w:rsidRPr="00755F88" w:rsidRDefault="00FD1B1B" w:rsidP="00FD1B1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55F88">
        <w:rPr>
          <w:sz w:val="28"/>
          <w:szCs w:val="28"/>
        </w:rPr>
        <w:t>Полный перечень услуг субъектам малого и среднего предпринимательства на территории Гатчинского муниципального района оказывают две некоммерческие организации муниципальной инфраструктуры поддержки предпринимательства:</w:t>
      </w:r>
    </w:p>
    <w:p w14:paraId="4C64D5AB" w14:textId="77777777" w:rsidR="00FD1B1B" w:rsidRPr="00755F88" w:rsidRDefault="00FD1B1B" w:rsidP="00FD1B1B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5F88">
        <w:rPr>
          <w:bCs/>
          <w:sz w:val="28"/>
          <w:szCs w:val="28"/>
        </w:rPr>
        <w:t xml:space="preserve">«Муниципальный фонд поддержки малого и среднего предпринимательства» Гатчинского муниципального района, расположенный по адресу: г. Гатчина, ул. Соборная, д. 2, тел.: 8 (81371) 3-07-70, </w:t>
      </w:r>
      <w:hyperlink r:id="rId13" w:history="1">
        <w:r w:rsidRPr="00755F88">
          <w:rPr>
            <w:rStyle w:val="a6"/>
            <w:bCs/>
            <w:color w:val="auto"/>
            <w:sz w:val="28"/>
            <w:szCs w:val="28"/>
            <w:lang w:val="en-US"/>
          </w:rPr>
          <w:t>mfpmpgr</w:t>
        </w:r>
        <w:r w:rsidRPr="00755F88">
          <w:rPr>
            <w:rStyle w:val="a6"/>
            <w:bCs/>
            <w:color w:val="auto"/>
            <w:sz w:val="28"/>
            <w:szCs w:val="28"/>
          </w:rPr>
          <w:t>@</w:t>
        </w:r>
        <w:r w:rsidRPr="00755F88">
          <w:rPr>
            <w:rStyle w:val="a6"/>
            <w:bCs/>
            <w:color w:val="auto"/>
            <w:sz w:val="28"/>
            <w:szCs w:val="28"/>
            <w:lang w:val="en-US"/>
          </w:rPr>
          <w:t>yandex</w:t>
        </w:r>
        <w:r w:rsidRPr="00755F88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755F88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55F88">
        <w:rPr>
          <w:rStyle w:val="a6"/>
          <w:bCs/>
          <w:color w:val="auto"/>
          <w:sz w:val="28"/>
          <w:szCs w:val="28"/>
        </w:rPr>
        <w:t xml:space="preserve"> (далее МСП Фонд)</w:t>
      </w:r>
      <w:r w:rsidRPr="00755F88">
        <w:rPr>
          <w:sz w:val="28"/>
          <w:szCs w:val="28"/>
        </w:rPr>
        <w:t>.</w:t>
      </w:r>
    </w:p>
    <w:p w14:paraId="5365D26B" w14:textId="77777777" w:rsidR="00FD1B1B" w:rsidRPr="00755F88" w:rsidRDefault="00FD1B1B" w:rsidP="00FD1B1B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55F88">
        <w:rPr>
          <w:bCs/>
          <w:sz w:val="28"/>
          <w:szCs w:val="28"/>
        </w:rPr>
        <w:t xml:space="preserve">Фонд поддержки малого и среднего предпринимательства – </w:t>
      </w:r>
      <w:proofErr w:type="spellStart"/>
      <w:r w:rsidRPr="00755F88">
        <w:rPr>
          <w:bCs/>
          <w:sz w:val="28"/>
          <w:szCs w:val="28"/>
        </w:rPr>
        <w:t>микрокредитная</w:t>
      </w:r>
      <w:proofErr w:type="spellEnd"/>
      <w:r w:rsidRPr="00755F88">
        <w:rPr>
          <w:bCs/>
          <w:sz w:val="28"/>
          <w:szCs w:val="28"/>
        </w:rPr>
        <w:t xml:space="preserve"> компания МО «Город Гатчина», расположенный по адресу: г. Гатчина, пр. 25 Октября, д. 28а, пом. </w:t>
      </w:r>
      <w:r w:rsidRPr="00755F88">
        <w:rPr>
          <w:bCs/>
          <w:sz w:val="28"/>
          <w:szCs w:val="28"/>
          <w:lang w:val="en-US"/>
        </w:rPr>
        <w:t>VIII</w:t>
      </w:r>
      <w:r w:rsidRPr="00755F88">
        <w:rPr>
          <w:bCs/>
          <w:sz w:val="28"/>
          <w:szCs w:val="28"/>
        </w:rPr>
        <w:t xml:space="preserve">, тел.: 8 (81371) 3-38-44, </w:t>
      </w:r>
      <w:hyperlink r:id="rId14" w:history="1">
        <w:r w:rsidRPr="00755F88">
          <w:rPr>
            <w:rStyle w:val="a6"/>
            <w:bCs/>
            <w:color w:val="auto"/>
            <w:sz w:val="28"/>
            <w:szCs w:val="28"/>
            <w:lang w:val="en-US"/>
          </w:rPr>
          <w:t>mspfond</w:t>
        </w:r>
        <w:r w:rsidRPr="00755F88">
          <w:rPr>
            <w:rStyle w:val="a6"/>
            <w:bCs/>
            <w:color w:val="auto"/>
            <w:sz w:val="28"/>
            <w:szCs w:val="28"/>
          </w:rPr>
          <w:t>-</w:t>
        </w:r>
        <w:r w:rsidRPr="00755F88">
          <w:rPr>
            <w:rStyle w:val="a6"/>
            <w:bCs/>
            <w:color w:val="auto"/>
            <w:sz w:val="28"/>
            <w:szCs w:val="28"/>
            <w:lang w:val="en-US"/>
          </w:rPr>
          <w:t>gtn</w:t>
        </w:r>
        <w:r w:rsidRPr="00755F88">
          <w:rPr>
            <w:rStyle w:val="a6"/>
            <w:bCs/>
            <w:color w:val="auto"/>
            <w:sz w:val="28"/>
            <w:szCs w:val="28"/>
          </w:rPr>
          <w:t>@</w:t>
        </w:r>
        <w:r w:rsidRPr="00755F88">
          <w:rPr>
            <w:rStyle w:val="a6"/>
            <w:bCs/>
            <w:color w:val="auto"/>
            <w:sz w:val="28"/>
            <w:szCs w:val="28"/>
            <w:lang w:val="en-US"/>
          </w:rPr>
          <w:t>yandex</w:t>
        </w:r>
        <w:r w:rsidRPr="00755F88">
          <w:rPr>
            <w:rStyle w:val="a6"/>
            <w:bCs/>
            <w:color w:val="auto"/>
            <w:sz w:val="28"/>
            <w:szCs w:val="28"/>
          </w:rPr>
          <w:t>.</w:t>
        </w:r>
        <w:proofErr w:type="spellStart"/>
        <w:r w:rsidRPr="00755F88">
          <w:rPr>
            <w:rStyle w:val="a6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55F88">
        <w:rPr>
          <w:rStyle w:val="a6"/>
          <w:bCs/>
          <w:color w:val="auto"/>
          <w:sz w:val="28"/>
          <w:szCs w:val="28"/>
        </w:rPr>
        <w:t xml:space="preserve"> (далее – МФ ПМСП, совместно – Фонды)</w:t>
      </w:r>
      <w:r w:rsidRPr="00755F88">
        <w:rPr>
          <w:sz w:val="28"/>
          <w:szCs w:val="28"/>
        </w:rPr>
        <w:t>.</w:t>
      </w:r>
    </w:p>
    <w:p w14:paraId="04462FC9" w14:textId="495AB0CD" w:rsidR="00FD1B1B" w:rsidRPr="00755F88" w:rsidRDefault="00FD1B1B" w:rsidP="00FD1B1B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755F88">
        <w:rPr>
          <w:bCs/>
          <w:sz w:val="28"/>
          <w:szCs w:val="28"/>
        </w:rPr>
        <w:t>В число услуг, оказываемых Фондами</w:t>
      </w:r>
      <w:r w:rsidR="00ED10E8">
        <w:rPr>
          <w:bCs/>
          <w:sz w:val="28"/>
          <w:szCs w:val="28"/>
        </w:rPr>
        <w:t>,</w:t>
      </w:r>
      <w:r w:rsidRPr="00755F88">
        <w:rPr>
          <w:bCs/>
          <w:sz w:val="28"/>
          <w:szCs w:val="28"/>
        </w:rPr>
        <w:t xml:space="preserve"> входят следующие услуги:</w:t>
      </w:r>
    </w:p>
    <w:p w14:paraId="13A3EE7D" w14:textId="77777777" w:rsidR="00FD1B1B" w:rsidRPr="00755F88" w:rsidRDefault="00FD1B1B" w:rsidP="00FD1B1B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755F88">
        <w:rPr>
          <w:bCs/>
          <w:sz w:val="28"/>
          <w:szCs w:val="28"/>
        </w:rPr>
        <w:t>информационно-консультационные услуги.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1"/>
        <w:gridCol w:w="2048"/>
        <w:gridCol w:w="2048"/>
        <w:gridCol w:w="1308"/>
      </w:tblGrid>
      <w:tr w:rsidR="00D07355" w:rsidRPr="00D07355" w14:paraId="6203940D" w14:textId="77777777" w:rsidTr="003445C5">
        <w:trPr>
          <w:trHeight w:val="1200"/>
        </w:trPr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2378" w14:textId="6F95B2C2" w:rsidR="00FD1B1B" w:rsidRPr="00D07355" w:rsidRDefault="00FD1B1B" w:rsidP="00DC0C30">
            <w:pPr>
              <w:jc w:val="center"/>
            </w:pPr>
            <w:r w:rsidRPr="00D07355">
              <w:t xml:space="preserve">Индивидуальные консультации всего за </w:t>
            </w:r>
            <w:r w:rsidR="00DC0C30">
              <w:t xml:space="preserve">1 квартал </w:t>
            </w:r>
            <w:r w:rsidRPr="00D07355">
              <w:t>202</w:t>
            </w:r>
            <w:r w:rsidR="00DC0C30">
              <w:t>3</w:t>
            </w:r>
            <w:r w:rsidRPr="00D07355">
              <w:t xml:space="preserve"> год</w:t>
            </w:r>
            <w:r w:rsidR="00A14CE9" w:rsidRPr="00D07355">
              <w:t>а</w:t>
            </w:r>
            <w:r w:rsidRPr="00D07355">
              <w:t>, в том числе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8769" w14:textId="77777777" w:rsidR="00FD1B1B" w:rsidRPr="00D07355" w:rsidRDefault="00FD1B1B" w:rsidP="003445C5">
            <w:r w:rsidRPr="00D07355">
              <w:t>оказываемые на платной основе, ед.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B8AA" w14:textId="77777777" w:rsidR="00FD1B1B" w:rsidRPr="00D07355" w:rsidRDefault="00FD1B1B" w:rsidP="003445C5">
            <w:r w:rsidRPr="00D07355">
              <w:t>оказываемые на бесплатной основе, ед.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0C6E" w14:textId="77777777" w:rsidR="00FD1B1B" w:rsidRPr="00D07355" w:rsidRDefault="00FD1B1B" w:rsidP="003445C5">
            <w:r w:rsidRPr="00D07355">
              <w:t>Всего, ед.</w:t>
            </w:r>
          </w:p>
        </w:tc>
      </w:tr>
      <w:tr w:rsidR="00D07355" w:rsidRPr="00D07355" w14:paraId="711A59EE" w14:textId="77777777" w:rsidTr="003445C5">
        <w:trPr>
          <w:trHeight w:val="300"/>
        </w:trPr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3AA7D" w14:textId="77777777" w:rsidR="00D07355" w:rsidRPr="00D07355" w:rsidRDefault="00D07355" w:rsidP="00D07355"/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493D" w14:textId="679E7AE2" w:rsidR="00D07355" w:rsidRPr="00D07355" w:rsidRDefault="00DC0C30" w:rsidP="00D0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7C1B" w14:textId="0501EEE1" w:rsidR="00D07355" w:rsidRPr="00D07355" w:rsidRDefault="00DC0C30" w:rsidP="00DC0C3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F492" w14:textId="1E91B9F5" w:rsidR="00D07355" w:rsidRPr="00D07355" w:rsidRDefault="00DC0C30" w:rsidP="000D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1174</w:t>
            </w:r>
          </w:p>
        </w:tc>
      </w:tr>
    </w:tbl>
    <w:p w14:paraId="3AC8FE08" w14:textId="373D8A7B" w:rsidR="00FD1B1B" w:rsidRDefault="00FD1B1B" w:rsidP="00FD1B1B">
      <w:pPr>
        <w:ind w:firstLine="567"/>
        <w:jc w:val="both"/>
        <w:rPr>
          <w:bCs/>
          <w:sz w:val="28"/>
          <w:szCs w:val="28"/>
        </w:rPr>
      </w:pPr>
      <w:r w:rsidRPr="00D07355">
        <w:rPr>
          <w:bCs/>
          <w:sz w:val="28"/>
          <w:szCs w:val="28"/>
        </w:rPr>
        <w:t xml:space="preserve">За </w:t>
      </w:r>
      <w:r w:rsidR="00DC0C30">
        <w:rPr>
          <w:bCs/>
          <w:sz w:val="28"/>
          <w:szCs w:val="28"/>
        </w:rPr>
        <w:t xml:space="preserve">первый квартал </w:t>
      </w:r>
      <w:r w:rsidR="00A14CE9" w:rsidRPr="00D07355">
        <w:rPr>
          <w:bCs/>
          <w:sz w:val="28"/>
          <w:szCs w:val="28"/>
        </w:rPr>
        <w:t>202</w:t>
      </w:r>
      <w:r w:rsidR="00DC0C30">
        <w:rPr>
          <w:bCs/>
          <w:sz w:val="28"/>
          <w:szCs w:val="28"/>
        </w:rPr>
        <w:t>3</w:t>
      </w:r>
      <w:r w:rsidR="00A14CE9" w:rsidRPr="00D07355">
        <w:rPr>
          <w:bCs/>
          <w:sz w:val="28"/>
          <w:szCs w:val="28"/>
        </w:rPr>
        <w:t xml:space="preserve"> год</w:t>
      </w:r>
      <w:r w:rsidR="00DC0C30">
        <w:rPr>
          <w:bCs/>
          <w:sz w:val="28"/>
          <w:szCs w:val="28"/>
        </w:rPr>
        <w:t>а</w:t>
      </w:r>
      <w:r w:rsidRPr="00D07355">
        <w:rPr>
          <w:bCs/>
          <w:sz w:val="28"/>
          <w:szCs w:val="28"/>
        </w:rPr>
        <w:t xml:space="preserve"> специалистами Фондов оказано </w:t>
      </w:r>
      <w:r w:rsidR="00DC0C30">
        <w:rPr>
          <w:bCs/>
          <w:sz w:val="28"/>
          <w:szCs w:val="28"/>
        </w:rPr>
        <w:t>1 174</w:t>
      </w:r>
      <w:r w:rsidRPr="00D07355">
        <w:rPr>
          <w:bCs/>
          <w:sz w:val="28"/>
          <w:szCs w:val="28"/>
        </w:rPr>
        <w:t xml:space="preserve"> индивидуальны</w:t>
      </w:r>
      <w:r w:rsidR="00933491">
        <w:rPr>
          <w:bCs/>
          <w:sz w:val="28"/>
          <w:szCs w:val="28"/>
        </w:rPr>
        <w:t>е</w:t>
      </w:r>
      <w:r w:rsidRPr="00D07355">
        <w:rPr>
          <w:bCs/>
          <w:sz w:val="28"/>
          <w:szCs w:val="28"/>
        </w:rPr>
        <w:t xml:space="preserve"> консультаци</w:t>
      </w:r>
      <w:r w:rsidR="00933491">
        <w:rPr>
          <w:bCs/>
          <w:sz w:val="28"/>
          <w:szCs w:val="28"/>
        </w:rPr>
        <w:t>и</w:t>
      </w:r>
      <w:r w:rsidRPr="00D07355">
        <w:rPr>
          <w:bCs/>
          <w:sz w:val="28"/>
          <w:szCs w:val="28"/>
        </w:rPr>
        <w:t xml:space="preserve"> физическим лицам и субъектам малого и среднего предпринимательства, из них </w:t>
      </w:r>
      <w:r w:rsidR="00DC0C30">
        <w:rPr>
          <w:bCs/>
          <w:sz w:val="28"/>
          <w:szCs w:val="28"/>
        </w:rPr>
        <w:t>1 058</w:t>
      </w:r>
      <w:r w:rsidRPr="00D07355">
        <w:rPr>
          <w:bCs/>
          <w:sz w:val="28"/>
          <w:szCs w:val="28"/>
        </w:rPr>
        <w:t xml:space="preserve"> услуг предоставлено безвозмездно.</w:t>
      </w:r>
    </w:p>
    <w:p w14:paraId="4BC65225" w14:textId="5C867C05" w:rsidR="00A14CE9" w:rsidRPr="00C21FE8" w:rsidRDefault="00FD1B1B" w:rsidP="00A14CE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21FE8">
        <w:rPr>
          <w:sz w:val="28"/>
          <w:szCs w:val="28"/>
        </w:rPr>
        <w:t xml:space="preserve">По данным Фондов количество уникальных субъектов малого и среднего бизнеса, обратившихся за консультационной поддержкой, составило </w:t>
      </w:r>
      <w:r w:rsidR="00DC0C30">
        <w:rPr>
          <w:sz w:val="28"/>
          <w:szCs w:val="28"/>
        </w:rPr>
        <w:t>200</w:t>
      </w:r>
      <w:r w:rsidRPr="00C21FE8">
        <w:rPr>
          <w:sz w:val="28"/>
          <w:szCs w:val="28"/>
        </w:rPr>
        <w:t xml:space="preserve"> един</w:t>
      </w:r>
      <w:r w:rsidR="00503BC2">
        <w:rPr>
          <w:sz w:val="28"/>
          <w:szCs w:val="28"/>
        </w:rPr>
        <w:t>иц</w:t>
      </w:r>
      <w:r w:rsidRPr="00C21FE8">
        <w:rPr>
          <w:sz w:val="28"/>
          <w:szCs w:val="28"/>
        </w:rPr>
        <w:t>.</w:t>
      </w:r>
    </w:p>
    <w:p w14:paraId="124A3C19" w14:textId="51CD72B7" w:rsidR="00EE6A47" w:rsidRDefault="00A14CE9" w:rsidP="00EE6A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E073A">
        <w:rPr>
          <w:sz w:val="28"/>
          <w:szCs w:val="28"/>
        </w:rPr>
        <w:t xml:space="preserve">Однако, на официальном сайте ФНС России - в Едином реестре субъектов МСП-получателей поддержки есть сведения о </w:t>
      </w:r>
      <w:r w:rsidR="000E073A" w:rsidRPr="000E073A">
        <w:rPr>
          <w:sz w:val="28"/>
          <w:szCs w:val="28"/>
        </w:rPr>
        <w:t>185</w:t>
      </w:r>
      <w:r w:rsidRPr="000E073A">
        <w:rPr>
          <w:sz w:val="28"/>
          <w:szCs w:val="28"/>
        </w:rPr>
        <w:t xml:space="preserve"> уникальных субъектах МСП</w:t>
      </w:r>
      <w:r w:rsidR="000E073A" w:rsidRPr="000E073A">
        <w:rPr>
          <w:sz w:val="28"/>
          <w:szCs w:val="28"/>
        </w:rPr>
        <w:t>.</w:t>
      </w:r>
    </w:p>
    <w:p w14:paraId="44F038B7" w14:textId="77777777" w:rsidR="00FD1B1B" w:rsidRPr="00EE6A47" w:rsidRDefault="00FD1B1B" w:rsidP="00EE6A47">
      <w:pPr>
        <w:pStyle w:val="a7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EE6A47">
        <w:rPr>
          <w:bCs/>
          <w:sz w:val="28"/>
          <w:szCs w:val="28"/>
        </w:rPr>
        <w:t>юридическая помощь и бухгалтерское сопровождение,</w:t>
      </w:r>
    </w:p>
    <w:p w14:paraId="1B61F038" w14:textId="77777777" w:rsidR="00F73292" w:rsidRDefault="00FD1B1B" w:rsidP="00F73292">
      <w:pPr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  <w:r w:rsidRPr="00A0619B">
        <w:rPr>
          <w:bCs/>
          <w:sz w:val="28"/>
          <w:szCs w:val="28"/>
        </w:rPr>
        <w:t xml:space="preserve">Наибольшее количество вопросов со стороны представителей малого и среднего бизнеса связано с предоставлением нормативно-правовой информации; правил ведения бухгалтерского учета, сдачи налоговой и иной отчетности. </w:t>
      </w:r>
      <w:r w:rsidR="00F73292" w:rsidRPr="00F73292">
        <w:rPr>
          <w:rFonts w:eastAsiaTheme="minorEastAsia"/>
          <w:color w:val="000000" w:themeColor="text1"/>
          <w:sz w:val="28"/>
          <w:szCs w:val="28"/>
        </w:rPr>
        <w:t>Бухгалтерское сопровождение и передача налоговой отчётности оказывались 47 субъектам МСП в 1 кв. 2023 года.</w:t>
      </w:r>
    </w:p>
    <w:p w14:paraId="0196A81B" w14:textId="77777777" w:rsidR="00F73292" w:rsidRPr="00F73292" w:rsidRDefault="00F73292" w:rsidP="00F73292">
      <w:pPr>
        <w:ind w:firstLine="540"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62C080B0" w14:textId="4CF75234" w:rsidR="00FD1B1B" w:rsidRPr="00455B71" w:rsidRDefault="00FD1B1B" w:rsidP="00FD1B1B">
      <w:pPr>
        <w:pStyle w:val="a7"/>
        <w:numPr>
          <w:ilvl w:val="0"/>
          <w:numId w:val="7"/>
        </w:numPr>
        <w:tabs>
          <w:tab w:val="left" w:pos="851"/>
        </w:tabs>
        <w:jc w:val="center"/>
        <w:rPr>
          <w:sz w:val="28"/>
          <w:szCs w:val="28"/>
        </w:rPr>
      </w:pPr>
      <w:r w:rsidRPr="00455B71">
        <w:rPr>
          <w:bCs/>
          <w:sz w:val="28"/>
          <w:szCs w:val="28"/>
        </w:rPr>
        <w:t>проведение обучения, семинаров и тренингов,</w:t>
      </w:r>
      <w:r w:rsidR="00455B71">
        <w:rPr>
          <w:bCs/>
          <w:sz w:val="28"/>
          <w:szCs w:val="28"/>
        </w:rPr>
        <w:t xml:space="preserve"> </w:t>
      </w:r>
      <w:r w:rsidRPr="00455B71">
        <w:rPr>
          <w:sz w:val="28"/>
          <w:szCs w:val="28"/>
        </w:rPr>
        <w:t>Фондами было организовано:</w:t>
      </w:r>
    </w:p>
    <w:p w14:paraId="0E15C82B" w14:textId="0C8F7606" w:rsidR="00B91D4B" w:rsidRPr="00CF6635" w:rsidRDefault="00B91D4B" w:rsidP="00FD1B1B">
      <w:pPr>
        <w:jc w:val="center"/>
        <w:rPr>
          <w:sz w:val="28"/>
          <w:szCs w:val="28"/>
        </w:rPr>
      </w:pPr>
    </w:p>
    <w:p w14:paraId="74ACC022" w14:textId="424B5E5B" w:rsidR="000C62AE" w:rsidRDefault="00F73292" w:rsidP="00FD1B1B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6F9A94" wp14:editId="348A1195">
            <wp:extent cx="5172076" cy="3352800"/>
            <wp:effectExtent l="0" t="0" r="9525" b="1905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E4E3117F-D346-40B3-9168-05D8FC9658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C003F3B" w14:textId="77777777" w:rsidR="00455B71" w:rsidRDefault="00455B71" w:rsidP="00FD1B1B">
      <w:pPr>
        <w:jc w:val="center"/>
        <w:rPr>
          <w:sz w:val="28"/>
          <w:szCs w:val="28"/>
        </w:rPr>
      </w:pPr>
    </w:p>
    <w:p w14:paraId="2253C021" w14:textId="7AD98F71" w:rsidR="00FD1B1B" w:rsidRDefault="00FD1B1B" w:rsidP="00FD1B1B">
      <w:pPr>
        <w:jc w:val="center"/>
        <w:rPr>
          <w:sz w:val="28"/>
          <w:szCs w:val="28"/>
        </w:rPr>
      </w:pPr>
      <w:r w:rsidRPr="00B91D4B">
        <w:rPr>
          <w:sz w:val="28"/>
          <w:szCs w:val="28"/>
        </w:rPr>
        <w:t xml:space="preserve">Количество человек, принимавших участие в обучающих курсах, семинарах и тренингах, за </w:t>
      </w:r>
      <w:r w:rsidR="003B6525">
        <w:rPr>
          <w:sz w:val="28"/>
          <w:szCs w:val="28"/>
        </w:rPr>
        <w:t xml:space="preserve">1 квартал </w:t>
      </w:r>
      <w:r w:rsidR="00E727EF" w:rsidRPr="00B91D4B">
        <w:rPr>
          <w:sz w:val="28"/>
          <w:szCs w:val="28"/>
        </w:rPr>
        <w:t>202</w:t>
      </w:r>
      <w:r w:rsidR="003B6525">
        <w:rPr>
          <w:sz w:val="28"/>
          <w:szCs w:val="28"/>
        </w:rPr>
        <w:t>3</w:t>
      </w:r>
      <w:r w:rsidR="00FB2C06">
        <w:rPr>
          <w:sz w:val="28"/>
          <w:szCs w:val="28"/>
        </w:rPr>
        <w:t xml:space="preserve"> год</w:t>
      </w:r>
      <w:r w:rsidR="003B6525">
        <w:rPr>
          <w:sz w:val="28"/>
          <w:szCs w:val="28"/>
        </w:rPr>
        <w:t>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7"/>
        <w:gridCol w:w="2329"/>
        <w:gridCol w:w="2329"/>
      </w:tblGrid>
      <w:tr w:rsidR="00455B71" w:rsidRPr="005056B4" w14:paraId="54E86CF9" w14:textId="77777777" w:rsidTr="00AD7120">
        <w:trPr>
          <w:trHeight w:val="377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5BE3" w14:textId="77777777" w:rsidR="00455B71" w:rsidRPr="005056B4" w:rsidRDefault="00455B71" w:rsidP="00AD7120">
            <w:pPr>
              <w:jc w:val="center"/>
            </w:pPr>
            <w:r w:rsidRPr="005056B4">
              <w:t xml:space="preserve">Обучающие курсы, семинары и тренинги за </w:t>
            </w:r>
            <w:r>
              <w:t>1 квартал 2023</w:t>
            </w:r>
            <w:r w:rsidRPr="005056B4">
              <w:t xml:space="preserve"> год</w:t>
            </w:r>
            <w:r>
              <w:t>а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EC08" w14:textId="77777777" w:rsidR="00455B71" w:rsidRPr="005056B4" w:rsidRDefault="00455B71" w:rsidP="00AD7120">
            <w:pPr>
              <w:jc w:val="center"/>
            </w:pPr>
            <w:r w:rsidRPr="005056B4">
              <w:t>Количество участников, чел.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5BD36" w14:textId="77777777" w:rsidR="00455B71" w:rsidRPr="0028349E" w:rsidRDefault="00455B71" w:rsidP="00AD7120">
            <w:pPr>
              <w:jc w:val="center"/>
            </w:pPr>
            <w:r>
              <w:t>По отношению к 1 кварталу 2022 года, %</w:t>
            </w:r>
          </w:p>
        </w:tc>
      </w:tr>
      <w:tr w:rsidR="00455B71" w:rsidRPr="005056B4" w14:paraId="502E3B1C" w14:textId="77777777" w:rsidTr="00AD7120">
        <w:trPr>
          <w:trHeight w:val="77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7AAC" w14:textId="77777777" w:rsidR="00455B71" w:rsidRPr="005056B4" w:rsidRDefault="00455B71" w:rsidP="00AD7120">
            <w:r w:rsidRPr="005056B4">
              <w:t>Обучающие семинары "Введение в предпринимательство"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201B" w14:textId="77777777" w:rsidR="00455B71" w:rsidRPr="005056B4" w:rsidRDefault="00455B71" w:rsidP="00AD7120">
            <w:pPr>
              <w:jc w:val="center"/>
            </w:pPr>
            <w:r>
              <w:t>82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07CCF" w14:textId="77777777" w:rsidR="00455B71" w:rsidRDefault="00455B71" w:rsidP="00AD7120">
            <w:pPr>
              <w:jc w:val="center"/>
            </w:pPr>
          </w:p>
          <w:p w14:paraId="5220D23C" w14:textId="77777777" w:rsidR="00455B71" w:rsidRDefault="00455B71" w:rsidP="00AD7120">
            <w:pPr>
              <w:jc w:val="center"/>
            </w:pPr>
            <w:r>
              <w:t>456</w:t>
            </w:r>
          </w:p>
        </w:tc>
      </w:tr>
      <w:tr w:rsidR="00455B71" w:rsidRPr="005056B4" w14:paraId="4104633B" w14:textId="77777777" w:rsidTr="00AD7120">
        <w:trPr>
          <w:trHeight w:val="77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FEB" w14:textId="77777777" w:rsidR="00455B71" w:rsidRPr="005056B4" w:rsidRDefault="00455B71" w:rsidP="00AD7120">
            <w:r w:rsidRPr="005056B4">
              <w:t>Семинары "Маркетинг в малом бизнесе"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EFAF" w14:textId="77777777" w:rsidR="00455B71" w:rsidRPr="005056B4" w:rsidRDefault="00455B71" w:rsidP="00AD7120">
            <w:pPr>
              <w:jc w:val="center"/>
            </w:pPr>
            <w:r>
              <w:t>82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C0BA" w14:textId="77777777" w:rsidR="00455B71" w:rsidRDefault="00455B71" w:rsidP="00AD7120">
            <w:pPr>
              <w:jc w:val="center"/>
            </w:pPr>
            <w:r>
              <w:t>456</w:t>
            </w:r>
          </w:p>
        </w:tc>
      </w:tr>
      <w:tr w:rsidR="00455B71" w:rsidRPr="005056B4" w14:paraId="117BA733" w14:textId="77777777" w:rsidTr="00AD7120">
        <w:trPr>
          <w:trHeight w:val="77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A918" w14:textId="77777777" w:rsidR="00455B71" w:rsidRPr="005056B4" w:rsidRDefault="00455B71" w:rsidP="00AD7120">
            <w:r w:rsidRPr="005056B4">
              <w:t>Тренинги в рамках реализации программ АО "Корпорация МСП"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F5AE" w14:textId="77777777" w:rsidR="00455B71" w:rsidRPr="005056B4" w:rsidRDefault="00455B71" w:rsidP="00AD7120">
            <w:pPr>
              <w:jc w:val="center"/>
            </w:pPr>
            <w:r>
              <w:t>69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BE6A2" w14:textId="77777777" w:rsidR="00455B71" w:rsidRDefault="00455B71" w:rsidP="00AD7120">
            <w:pPr>
              <w:jc w:val="center"/>
            </w:pPr>
            <w:r>
              <w:t>531</w:t>
            </w:r>
          </w:p>
        </w:tc>
      </w:tr>
      <w:tr w:rsidR="00455B71" w:rsidRPr="005056B4" w14:paraId="5963034D" w14:textId="77777777" w:rsidTr="00AD7120">
        <w:trPr>
          <w:trHeight w:val="77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1AE8" w14:textId="77777777" w:rsidR="00455B71" w:rsidRPr="005056B4" w:rsidRDefault="00455B71" w:rsidP="00AD7120">
            <w:r>
              <w:t>Семинары по поддержке социальных предпринимателей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05C8" w14:textId="77777777" w:rsidR="00455B71" w:rsidRDefault="00455B71" w:rsidP="00AD7120">
            <w:pPr>
              <w:jc w:val="center"/>
            </w:pPr>
            <w:r>
              <w:t>30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598C8" w14:textId="77777777" w:rsidR="00455B71" w:rsidRDefault="00455B71" w:rsidP="00AD7120">
            <w:pPr>
              <w:jc w:val="center"/>
            </w:pPr>
            <w:r>
              <w:t>200</w:t>
            </w:r>
          </w:p>
        </w:tc>
      </w:tr>
      <w:tr w:rsidR="00455B71" w:rsidRPr="005056B4" w14:paraId="6E7835F5" w14:textId="77777777" w:rsidTr="00AD7120">
        <w:trPr>
          <w:trHeight w:val="77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8839" w14:textId="77777777" w:rsidR="00455B71" w:rsidRPr="005056B4" w:rsidRDefault="00455B71" w:rsidP="00AD7120">
            <w:r>
              <w:t>Семинар «Государственная поддержка бизнеса в 2023 году»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D816" w14:textId="77777777" w:rsidR="00455B71" w:rsidRPr="005056B4" w:rsidRDefault="00455B71" w:rsidP="00AD7120">
            <w:pPr>
              <w:jc w:val="center"/>
            </w:pPr>
            <w:r>
              <w:t>32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949D" w14:textId="77777777" w:rsidR="00455B71" w:rsidRDefault="00455B71" w:rsidP="00AD7120">
            <w:pPr>
              <w:jc w:val="center"/>
            </w:pPr>
            <w:r>
              <w:t>80</w:t>
            </w:r>
          </w:p>
        </w:tc>
      </w:tr>
      <w:tr w:rsidR="00455B71" w:rsidRPr="005056B4" w14:paraId="1A8059B5" w14:textId="77777777" w:rsidTr="00AD7120">
        <w:trPr>
          <w:trHeight w:val="77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D990" w14:textId="77777777" w:rsidR="00455B71" w:rsidRDefault="00455B71" w:rsidP="00AD7120">
            <w:r>
              <w:t>Прочие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2FD2" w14:textId="77777777" w:rsidR="00455B71" w:rsidRDefault="00455B71" w:rsidP="00AD7120">
            <w:pPr>
              <w:jc w:val="center"/>
            </w:pPr>
            <w:r>
              <w:t>19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C6235" w14:textId="77777777" w:rsidR="00455B71" w:rsidRDefault="00455B71" w:rsidP="00AD7120">
            <w:pPr>
              <w:jc w:val="center"/>
            </w:pPr>
            <w:r>
              <w:t>76</w:t>
            </w:r>
          </w:p>
        </w:tc>
      </w:tr>
    </w:tbl>
    <w:p w14:paraId="4027675E" w14:textId="77777777" w:rsidR="00455B71" w:rsidRPr="00B951AF" w:rsidRDefault="00455B71" w:rsidP="00FD1B1B">
      <w:pPr>
        <w:jc w:val="center"/>
        <w:rPr>
          <w:sz w:val="28"/>
          <w:szCs w:val="28"/>
          <w:lang w:val="en-US"/>
        </w:rPr>
      </w:pPr>
    </w:p>
    <w:p w14:paraId="4BA845F1" w14:textId="4B55CBE6" w:rsidR="00127657" w:rsidRDefault="00127657" w:rsidP="00FD1B1B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7C1783" wp14:editId="214FA76A">
            <wp:extent cx="5343525" cy="5048250"/>
            <wp:effectExtent l="0" t="0" r="9525" b="1905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87E6891D-82D5-7E6B-3C3C-5E3D5033F8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77C92BD" w14:textId="77777777" w:rsidR="00127657" w:rsidRPr="00B91D4B" w:rsidRDefault="00127657" w:rsidP="00FD1B1B">
      <w:pPr>
        <w:jc w:val="center"/>
        <w:rPr>
          <w:sz w:val="28"/>
          <w:szCs w:val="28"/>
        </w:rPr>
      </w:pPr>
    </w:p>
    <w:p w14:paraId="66EA1F3F" w14:textId="77777777" w:rsidR="00204983" w:rsidRDefault="00204983" w:rsidP="00204983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3EBD9DE9" w14:textId="77777777" w:rsidR="00FD1B1B" w:rsidRPr="00B91D4B" w:rsidRDefault="00FD1B1B" w:rsidP="00FD1B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567"/>
        <w:jc w:val="both"/>
        <w:rPr>
          <w:sz w:val="28"/>
          <w:szCs w:val="28"/>
        </w:rPr>
      </w:pPr>
      <w:r w:rsidRPr="00B91D4B">
        <w:rPr>
          <w:bCs/>
          <w:sz w:val="28"/>
          <w:szCs w:val="28"/>
        </w:rPr>
        <w:t xml:space="preserve">предоставление в аренду площадей в </w:t>
      </w:r>
      <w:r w:rsidR="00204983" w:rsidRPr="00B91D4B">
        <w:rPr>
          <w:bCs/>
          <w:sz w:val="28"/>
          <w:szCs w:val="28"/>
        </w:rPr>
        <w:t>бизнес-инкубаторах</w:t>
      </w:r>
    </w:p>
    <w:p w14:paraId="0B5FCE50" w14:textId="77777777" w:rsidR="00204983" w:rsidRPr="00B91D4B" w:rsidRDefault="00204983" w:rsidP="00FD1B1B">
      <w:pPr>
        <w:jc w:val="center"/>
        <w:rPr>
          <w:bCs/>
          <w:sz w:val="28"/>
          <w:szCs w:val="28"/>
        </w:rPr>
      </w:pPr>
    </w:p>
    <w:p w14:paraId="757A7E4B" w14:textId="33153227" w:rsidR="00FD1B1B" w:rsidRDefault="00FD1B1B" w:rsidP="00FD1B1B">
      <w:pPr>
        <w:jc w:val="center"/>
        <w:rPr>
          <w:bCs/>
          <w:sz w:val="28"/>
          <w:szCs w:val="28"/>
        </w:rPr>
      </w:pPr>
      <w:r w:rsidRPr="00B91D4B">
        <w:rPr>
          <w:bCs/>
          <w:sz w:val="28"/>
          <w:szCs w:val="28"/>
        </w:rPr>
        <w:t xml:space="preserve">Площадь помещений, используемых в целях бизнес-инкубирования по состоянию на </w:t>
      </w:r>
      <w:r w:rsidR="00E727EF" w:rsidRPr="00B91D4B">
        <w:rPr>
          <w:bCs/>
          <w:sz w:val="28"/>
          <w:szCs w:val="28"/>
        </w:rPr>
        <w:t>01.</w:t>
      </w:r>
      <w:r w:rsidR="00F925D8">
        <w:rPr>
          <w:bCs/>
          <w:sz w:val="28"/>
          <w:szCs w:val="28"/>
        </w:rPr>
        <w:t>0</w:t>
      </w:r>
      <w:r w:rsidR="003B6525">
        <w:rPr>
          <w:bCs/>
          <w:sz w:val="28"/>
          <w:szCs w:val="28"/>
        </w:rPr>
        <w:t>4</w:t>
      </w:r>
      <w:r w:rsidR="00E727EF" w:rsidRPr="00B91D4B">
        <w:rPr>
          <w:bCs/>
          <w:sz w:val="28"/>
          <w:szCs w:val="28"/>
        </w:rPr>
        <w:t>.202</w:t>
      </w:r>
      <w:r w:rsidR="00F925D8">
        <w:rPr>
          <w:bCs/>
          <w:sz w:val="28"/>
          <w:szCs w:val="28"/>
        </w:rPr>
        <w:t>3</w:t>
      </w:r>
    </w:p>
    <w:p w14:paraId="5066C302" w14:textId="77777777" w:rsidR="00F73292" w:rsidRPr="00B91D4B" w:rsidRDefault="00F73292" w:rsidP="00FD1B1B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1"/>
        <w:gridCol w:w="2032"/>
        <w:gridCol w:w="2032"/>
      </w:tblGrid>
      <w:tr w:rsidR="00B91D4B" w:rsidRPr="00B91D4B" w14:paraId="02A400A6" w14:textId="77777777" w:rsidTr="003445C5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C07" w14:textId="77777777" w:rsidR="00FD1B1B" w:rsidRPr="00B91D4B" w:rsidRDefault="00FD1B1B" w:rsidP="003445C5">
            <w:pPr>
              <w:tabs>
                <w:tab w:val="num" w:pos="993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9141" w14:textId="77777777" w:rsidR="00FD1B1B" w:rsidRPr="00B91D4B" w:rsidRDefault="00FD1B1B" w:rsidP="003445C5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 xml:space="preserve">МСП Фонд, </w:t>
            </w:r>
            <w:proofErr w:type="spellStart"/>
            <w:r w:rsidRPr="00B91D4B"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3611" w14:textId="77777777" w:rsidR="00FD1B1B" w:rsidRPr="00B91D4B" w:rsidRDefault="00FD1B1B" w:rsidP="003445C5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МФ ПМСП, кв. м</w:t>
            </w:r>
          </w:p>
        </w:tc>
      </w:tr>
      <w:tr w:rsidR="00B91D4B" w:rsidRPr="00B91D4B" w14:paraId="0555D66E" w14:textId="77777777" w:rsidTr="003445C5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84F1" w14:textId="77777777" w:rsidR="00FD1B1B" w:rsidRPr="00B91D4B" w:rsidRDefault="00FD1B1B" w:rsidP="003445C5">
            <w:pPr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Площадь помещений, предоставленных субъектам МСП,</w:t>
            </w:r>
          </w:p>
          <w:p w14:paraId="302E0AF0" w14:textId="77777777" w:rsidR="00FD1B1B" w:rsidRPr="00B91D4B" w:rsidRDefault="00FD1B1B" w:rsidP="003445C5">
            <w:pPr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в том числе: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D8E" w14:textId="77777777" w:rsidR="00FD1B1B" w:rsidRPr="00B91D4B" w:rsidRDefault="00207F30" w:rsidP="003445C5">
            <w:pPr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694,2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EA9" w14:textId="77777777" w:rsidR="00FD1B1B" w:rsidRPr="00B91D4B" w:rsidRDefault="00FD1B1B" w:rsidP="003445C5">
            <w:pPr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-</w:t>
            </w:r>
          </w:p>
        </w:tc>
      </w:tr>
      <w:tr w:rsidR="00B91D4B" w:rsidRPr="00B91D4B" w14:paraId="58F7FD94" w14:textId="77777777" w:rsidTr="003445C5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F3CE" w14:textId="77777777" w:rsidR="00FD1B1B" w:rsidRPr="00B91D4B" w:rsidRDefault="00FD1B1B" w:rsidP="003445C5">
            <w:pPr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Для размещения производства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3DE" w14:textId="77777777" w:rsidR="00FD1B1B" w:rsidRPr="00B91D4B" w:rsidRDefault="00207F30" w:rsidP="003445C5">
            <w:pPr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518,4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0B2" w14:textId="77777777" w:rsidR="00FD1B1B" w:rsidRPr="00B91D4B" w:rsidRDefault="00FD1B1B" w:rsidP="003445C5">
            <w:pPr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-</w:t>
            </w:r>
          </w:p>
        </w:tc>
      </w:tr>
      <w:tr w:rsidR="00B91D4B" w:rsidRPr="00B91D4B" w14:paraId="25E4D2DF" w14:textId="77777777" w:rsidTr="003445C5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0CC7" w14:textId="77777777" w:rsidR="00FD1B1B" w:rsidRPr="00B91D4B" w:rsidRDefault="00FD1B1B" w:rsidP="003445C5">
            <w:pPr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В целях организации офиса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B5A" w14:textId="77777777" w:rsidR="00FD1B1B" w:rsidRPr="00B91D4B" w:rsidRDefault="00207F30" w:rsidP="003445C5">
            <w:pPr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144,8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C77" w14:textId="77777777" w:rsidR="00FD1B1B" w:rsidRPr="00B91D4B" w:rsidRDefault="00FD1B1B" w:rsidP="003445C5">
            <w:pPr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-</w:t>
            </w:r>
          </w:p>
        </w:tc>
      </w:tr>
      <w:tr w:rsidR="00B91D4B" w:rsidRPr="00B91D4B" w14:paraId="691CBA35" w14:textId="77777777" w:rsidTr="003445C5"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CFB" w14:textId="77777777" w:rsidR="00FD1B1B" w:rsidRPr="00B91D4B" w:rsidRDefault="00FD1B1B" w:rsidP="003445C5">
            <w:pPr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Для осуществления торговли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D53" w14:textId="42B5F9BB" w:rsidR="00FD1B1B" w:rsidRPr="00B91D4B" w:rsidRDefault="003B6525" w:rsidP="003445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B175" w14:textId="77777777" w:rsidR="00FD1B1B" w:rsidRPr="00B91D4B" w:rsidRDefault="00FD1B1B" w:rsidP="003445C5">
            <w:pPr>
              <w:spacing w:line="276" w:lineRule="auto"/>
              <w:jc w:val="center"/>
              <w:rPr>
                <w:lang w:eastAsia="en-US"/>
              </w:rPr>
            </w:pPr>
            <w:r w:rsidRPr="00B91D4B">
              <w:rPr>
                <w:lang w:eastAsia="en-US"/>
              </w:rPr>
              <w:t>-</w:t>
            </w:r>
          </w:p>
        </w:tc>
      </w:tr>
    </w:tbl>
    <w:p w14:paraId="0E2061E4" w14:textId="77777777" w:rsidR="00FD1B1B" w:rsidRPr="00B91D4B" w:rsidRDefault="00FD1B1B" w:rsidP="00FD1B1B">
      <w:pPr>
        <w:ind w:firstLine="567"/>
        <w:jc w:val="both"/>
        <w:rPr>
          <w:bCs/>
          <w:sz w:val="28"/>
          <w:szCs w:val="28"/>
        </w:rPr>
      </w:pPr>
      <w:r w:rsidRPr="00B91D4B">
        <w:rPr>
          <w:bCs/>
          <w:sz w:val="28"/>
          <w:szCs w:val="28"/>
        </w:rPr>
        <w:t>Услуги бизнес-инкубирования предоставляются Фондами на пяти площадках: четыре площадки в городе Гатчина:</w:t>
      </w:r>
    </w:p>
    <w:p w14:paraId="0B582B1E" w14:textId="77777777" w:rsidR="00FD1B1B" w:rsidRPr="00B91D4B" w:rsidRDefault="00FD1B1B" w:rsidP="00FD1B1B">
      <w:pPr>
        <w:ind w:firstLine="567"/>
        <w:jc w:val="both"/>
        <w:rPr>
          <w:bCs/>
          <w:sz w:val="28"/>
          <w:szCs w:val="28"/>
        </w:rPr>
      </w:pPr>
      <w:r w:rsidRPr="00B91D4B">
        <w:rPr>
          <w:bCs/>
          <w:sz w:val="28"/>
          <w:szCs w:val="28"/>
        </w:rPr>
        <w:t>пр.25 Октября, д.28а, пом. 8,</w:t>
      </w:r>
    </w:p>
    <w:p w14:paraId="507AD5B8" w14:textId="77777777" w:rsidR="00FD1B1B" w:rsidRPr="00B91D4B" w:rsidRDefault="00FD1B1B" w:rsidP="00FD1B1B">
      <w:pPr>
        <w:ind w:firstLine="567"/>
        <w:jc w:val="both"/>
        <w:rPr>
          <w:bCs/>
          <w:sz w:val="28"/>
          <w:szCs w:val="28"/>
        </w:rPr>
      </w:pPr>
      <w:r w:rsidRPr="00B91D4B">
        <w:rPr>
          <w:bCs/>
          <w:sz w:val="28"/>
          <w:szCs w:val="28"/>
        </w:rPr>
        <w:t>ул. Карла Маркса, д.36, пом. 1,</w:t>
      </w:r>
    </w:p>
    <w:p w14:paraId="1365DA0D" w14:textId="77777777" w:rsidR="00FD1B1B" w:rsidRPr="00B91D4B" w:rsidRDefault="00FD1B1B" w:rsidP="00FD1B1B">
      <w:pPr>
        <w:ind w:firstLine="567"/>
        <w:jc w:val="both"/>
        <w:rPr>
          <w:bCs/>
          <w:sz w:val="28"/>
          <w:szCs w:val="28"/>
        </w:rPr>
      </w:pPr>
      <w:r w:rsidRPr="00B91D4B">
        <w:rPr>
          <w:bCs/>
          <w:sz w:val="28"/>
          <w:szCs w:val="28"/>
        </w:rPr>
        <w:t>ул. Нестерова, д.8, к.1,</w:t>
      </w:r>
    </w:p>
    <w:p w14:paraId="456ACEE8" w14:textId="77777777" w:rsidR="00FD1B1B" w:rsidRPr="00B91D4B" w:rsidRDefault="00FD1B1B" w:rsidP="00FD1B1B">
      <w:pPr>
        <w:ind w:firstLine="567"/>
        <w:jc w:val="both"/>
        <w:rPr>
          <w:bCs/>
          <w:sz w:val="28"/>
          <w:szCs w:val="28"/>
        </w:rPr>
      </w:pPr>
      <w:r w:rsidRPr="00B91D4B">
        <w:rPr>
          <w:bCs/>
          <w:sz w:val="28"/>
          <w:szCs w:val="28"/>
        </w:rPr>
        <w:t>ул. Чехова, д. 14 (магазин «Сделано в Гатчине»),</w:t>
      </w:r>
    </w:p>
    <w:p w14:paraId="2D907E3D" w14:textId="0C936D6E" w:rsidR="00FD1B1B" w:rsidRPr="00B91D4B" w:rsidRDefault="00FD1B1B" w:rsidP="00FD1B1B">
      <w:pPr>
        <w:jc w:val="both"/>
        <w:rPr>
          <w:bCs/>
          <w:sz w:val="28"/>
          <w:szCs w:val="28"/>
        </w:rPr>
      </w:pPr>
      <w:r w:rsidRPr="00B91D4B">
        <w:rPr>
          <w:bCs/>
          <w:sz w:val="28"/>
          <w:szCs w:val="28"/>
        </w:rPr>
        <w:lastRenderedPageBreak/>
        <w:t xml:space="preserve">и одна площадка в пос. Тайцы, ул. Юного Ленинца, д.2 – по состоянию на </w:t>
      </w:r>
      <w:r w:rsidR="00CF582C">
        <w:rPr>
          <w:bCs/>
          <w:sz w:val="28"/>
          <w:szCs w:val="28"/>
        </w:rPr>
        <w:t>01</w:t>
      </w:r>
      <w:r w:rsidRPr="00B91D4B">
        <w:rPr>
          <w:bCs/>
          <w:sz w:val="28"/>
          <w:szCs w:val="28"/>
        </w:rPr>
        <w:t>.</w:t>
      </w:r>
      <w:r w:rsidR="00F925D8">
        <w:rPr>
          <w:bCs/>
          <w:sz w:val="28"/>
          <w:szCs w:val="28"/>
        </w:rPr>
        <w:t>0</w:t>
      </w:r>
      <w:r w:rsidR="003B6525">
        <w:rPr>
          <w:bCs/>
          <w:sz w:val="28"/>
          <w:szCs w:val="28"/>
        </w:rPr>
        <w:t>4</w:t>
      </w:r>
      <w:r w:rsidRPr="00B91D4B">
        <w:rPr>
          <w:bCs/>
          <w:sz w:val="28"/>
          <w:szCs w:val="28"/>
        </w:rPr>
        <w:t>.202</w:t>
      </w:r>
      <w:r w:rsidR="00F925D8">
        <w:rPr>
          <w:bCs/>
          <w:sz w:val="28"/>
          <w:szCs w:val="28"/>
        </w:rPr>
        <w:t>3</w:t>
      </w:r>
      <w:r w:rsidRPr="00B91D4B">
        <w:rPr>
          <w:bCs/>
          <w:sz w:val="28"/>
          <w:szCs w:val="28"/>
        </w:rPr>
        <w:t xml:space="preserve"> данный бизнес-инкубатор закрыт на реконструкцию, которая проводится в период 2020-202</w:t>
      </w:r>
      <w:r w:rsidR="00F925D8">
        <w:rPr>
          <w:bCs/>
          <w:sz w:val="28"/>
          <w:szCs w:val="28"/>
        </w:rPr>
        <w:t>3</w:t>
      </w:r>
      <w:r w:rsidRPr="00B91D4B">
        <w:rPr>
          <w:bCs/>
          <w:sz w:val="28"/>
          <w:szCs w:val="28"/>
        </w:rPr>
        <w:t xml:space="preserve"> годов.</w:t>
      </w:r>
    </w:p>
    <w:p w14:paraId="1B47A97A" w14:textId="2D0D8A24" w:rsidR="00FD1B1B" w:rsidRPr="005D0DF7" w:rsidRDefault="00FD1B1B" w:rsidP="00FD1B1B">
      <w:pPr>
        <w:jc w:val="center"/>
        <w:rPr>
          <w:bCs/>
          <w:sz w:val="28"/>
          <w:szCs w:val="28"/>
        </w:rPr>
      </w:pPr>
      <w:r w:rsidRPr="005D0DF7">
        <w:rPr>
          <w:bCs/>
          <w:sz w:val="28"/>
          <w:szCs w:val="28"/>
        </w:rPr>
        <w:t xml:space="preserve">Размещение субъектов малого и среднего бизнеса в бизнес-инкубаторах по состоянию на </w:t>
      </w:r>
      <w:r w:rsidR="00E727EF" w:rsidRPr="005D0DF7">
        <w:rPr>
          <w:bCs/>
          <w:sz w:val="28"/>
          <w:szCs w:val="28"/>
        </w:rPr>
        <w:t>01.</w:t>
      </w:r>
      <w:r w:rsidR="00F925D8">
        <w:rPr>
          <w:bCs/>
          <w:sz w:val="28"/>
          <w:szCs w:val="28"/>
        </w:rPr>
        <w:t>0</w:t>
      </w:r>
      <w:r w:rsidR="00B757D1">
        <w:rPr>
          <w:bCs/>
          <w:sz w:val="28"/>
          <w:szCs w:val="28"/>
        </w:rPr>
        <w:t>4</w:t>
      </w:r>
      <w:r w:rsidR="00B91D4B" w:rsidRPr="005D0DF7">
        <w:rPr>
          <w:bCs/>
          <w:sz w:val="28"/>
          <w:szCs w:val="28"/>
        </w:rPr>
        <w:t>.</w:t>
      </w:r>
      <w:r w:rsidRPr="005D0DF7">
        <w:rPr>
          <w:bCs/>
          <w:sz w:val="28"/>
          <w:szCs w:val="28"/>
        </w:rPr>
        <w:t>202</w:t>
      </w:r>
      <w:r w:rsidR="00F925D8">
        <w:rPr>
          <w:bCs/>
          <w:sz w:val="28"/>
          <w:szCs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8"/>
        <w:gridCol w:w="1123"/>
        <w:gridCol w:w="1598"/>
        <w:gridCol w:w="1596"/>
      </w:tblGrid>
      <w:tr w:rsidR="005D0DF7" w:rsidRPr="005D0DF7" w14:paraId="6D59A3F0" w14:textId="77777777" w:rsidTr="003445C5"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374" w14:textId="77777777" w:rsidR="00FD1B1B" w:rsidRPr="005D0DF7" w:rsidRDefault="00FD1B1B" w:rsidP="003445C5">
            <w:pPr>
              <w:tabs>
                <w:tab w:val="num" w:pos="993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0393" w14:textId="77777777" w:rsidR="00FD1B1B" w:rsidRPr="005D0DF7" w:rsidRDefault="00FD1B1B" w:rsidP="003445C5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5D0DF7">
              <w:rPr>
                <w:lang w:eastAsia="en-US"/>
              </w:rPr>
              <w:t>ВСЕГО, ед.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27D2" w14:textId="77777777" w:rsidR="00FD1B1B" w:rsidRPr="005D0DF7" w:rsidRDefault="00FD1B1B" w:rsidP="003445C5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5D0DF7">
              <w:rPr>
                <w:lang w:eastAsia="en-US"/>
              </w:rPr>
              <w:t xml:space="preserve">МСП Фонд, ед.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823A" w14:textId="77777777" w:rsidR="00FD1B1B" w:rsidRPr="005D0DF7" w:rsidRDefault="00FD1B1B" w:rsidP="003445C5">
            <w:pPr>
              <w:tabs>
                <w:tab w:val="num" w:pos="993"/>
              </w:tabs>
              <w:spacing w:line="276" w:lineRule="auto"/>
              <w:jc w:val="center"/>
              <w:rPr>
                <w:lang w:eastAsia="en-US"/>
              </w:rPr>
            </w:pPr>
            <w:r w:rsidRPr="005D0DF7">
              <w:rPr>
                <w:lang w:eastAsia="en-US"/>
              </w:rPr>
              <w:t xml:space="preserve">МФ ПМСП, ед. </w:t>
            </w:r>
          </w:p>
        </w:tc>
      </w:tr>
      <w:tr w:rsidR="005D0DF7" w:rsidRPr="005D0DF7" w14:paraId="1C45FE49" w14:textId="77777777" w:rsidTr="003445C5"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2939" w14:textId="77777777" w:rsidR="00FD1B1B" w:rsidRPr="005D0DF7" w:rsidRDefault="00FD1B1B" w:rsidP="003445C5">
            <w:pPr>
              <w:spacing w:line="276" w:lineRule="auto"/>
              <w:jc w:val="center"/>
              <w:rPr>
                <w:lang w:eastAsia="en-US"/>
              </w:rPr>
            </w:pPr>
            <w:r w:rsidRPr="005D0DF7">
              <w:rPr>
                <w:lang w:eastAsia="en-US"/>
              </w:rPr>
              <w:t>Количество субъектов малого и среднего предпринимательства, размещенных в бизнес-инкубаторах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2D12" w14:textId="7815453C" w:rsidR="00FD1B1B" w:rsidRPr="00CF582C" w:rsidRDefault="005D0DF7" w:rsidP="00B757D1">
            <w:pPr>
              <w:spacing w:line="276" w:lineRule="auto"/>
              <w:jc w:val="center"/>
              <w:rPr>
                <w:lang w:eastAsia="en-US"/>
              </w:rPr>
            </w:pPr>
            <w:r w:rsidRPr="00CF582C">
              <w:rPr>
                <w:lang w:eastAsia="en-US"/>
              </w:rPr>
              <w:t>1</w:t>
            </w:r>
            <w:r w:rsidR="00B757D1">
              <w:rPr>
                <w:lang w:eastAsia="en-US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02AD" w14:textId="29F86C10" w:rsidR="00FD1B1B" w:rsidRPr="00CF582C" w:rsidRDefault="00E727EF" w:rsidP="00B757D1">
            <w:pPr>
              <w:spacing w:line="276" w:lineRule="auto"/>
              <w:jc w:val="center"/>
              <w:rPr>
                <w:lang w:eastAsia="en-US"/>
              </w:rPr>
            </w:pPr>
            <w:r w:rsidRPr="00CF582C">
              <w:rPr>
                <w:lang w:eastAsia="en-US"/>
              </w:rPr>
              <w:t>1</w:t>
            </w:r>
            <w:r w:rsidR="00B757D1">
              <w:rPr>
                <w:lang w:eastAsia="en-US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7957" w14:textId="77777777" w:rsidR="00FD1B1B" w:rsidRPr="005D0DF7" w:rsidRDefault="00FD1B1B" w:rsidP="003445C5">
            <w:pPr>
              <w:spacing w:line="276" w:lineRule="auto"/>
              <w:jc w:val="center"/>
              <w:rPr>
                <w:lang w:eastAsia="en-US"/>
              </w:rPr>
            </w:pPr>
            <w:r w:rsidRPr="005D0DF7">
              <w:rPr>
                <w:lang w:eastAsia="en-US"/>
              </w:rPr>
              <w:t>0</w:t>
            </w:r>
          </w:p>
        </w:tc>
      </w:tr>
    </w:tbl>
    <w:p w14:paraId="4438FDC7" w14:textId="77777777" w:rsidR="00FD1B1B" w:rsidRPr="005D0DF7" w:rsidRDefault="00FD1B1B" w:rsidP="008877FE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jc w:val="both"/>
        <w:rPr>
          <w:sz w:val="28"/>
          <w:szCs w:val="28"/>
        </w:rPr>
      </w:pPr>
      <w:r w:rsidRPr="005D0DF7">
        <w:rPr>
          <w:bCs/>
          <w:sz w:val="28"/>
          <w:szCs w:val="28"/>
        </w:rPr>
        <w:t xml:space="preserve">льготное микрокредитование </w:t>
      </w:r>
    </w:p>
    <w:p w14:paraId="68E21482" w14:textId="5C0003C4" w:rsidR="0028608E" w:rsidRDefault="00B757D1" w:rsidP="00580D8A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A4A87">
        <w:rPr>
          <w:color w:val="000000" w:themeColor="text1"/>
          <w:sz w:val="28"/>
          <w:szCs w:val="28"/>
        </w:rPr>
        <w:t>По состоянию на 31.03.2023 г. портфель для предоставления займов составляет 41 800 тыс. рублей, из них: 2 806 тыс. руб. - средства местного бюджета; 10 219 тыс. руб. - средства федерального бюджета; 28 775 тыс. руб. – средства областного бюджета</w:t>
      </w:r>
    </w:p>
    <w:p w14:paraId="1DD7B467" w14:textId="77777777" w:rsidR="0028608E" w:rsidRPr="00DA4A87" w:rsidRDefault="0028608E" w:rsidP="0028608E">
      <w:pPr>
        <w:spacing w:line="276" w:lineRule="auto"/>
        <w:ind w:firstLine="709"/>
        <w:jc w:val="both"/>
        <w:outlineLvl w:val="0"/>
        <w:rPr>
          <w:rFonts w:eastAsiaTheme="minorEastAsia"/>
          <w:color w:val="000000" w:themeColor="text1"/>
          <w:sz w:val="28"/>
          <w:szCs w:val="28"/>
        </w:rPr>
      </w:pPr>
      <w:r w:rsidRPr="00DA4A87">
        <w:rPr>
          <w:rFonts w:eastAsiaTheme="minorEastAsia" w:cstheme="minorBidi"/>
          <w:color w:val="000000" w:themeColor="text1"/>
          <w:sz w:val="28"/>
          <w:szCs w:val="28"/>
        </w:rPr>
        <w:t>По состоянию на 31.03.2023 года МСП Фондом было предоставлено 12 микрозаймов субъектам МСП, осуществляющим деятельность на территории Гатчинского района, на общую сумму 4 550 тыс. рублей.</w:t>
      </w:r>
    </w:p>
    <w:p w14:paraId="59F8BB1C" w14:textId="77777777" w:rsidR="00580D8A" w:rsidRPr="00580D8A" w:rsidRDefault="00580D8A" w:rsidP="00580D8A">
      <w:pPr>
        <w:pStyle w:val="a7"/>
        <w:numPr>
          <w:ilvl w:val="0"/>
          <w:numId w:val="6"/>
        </w:numPr>
        <w:ind w:left="0" w:firstLine="349"/>
        <w:jc w:val="both"/>
        <w:rPr>
          <w:color w:val="000000" w:themeColor="text1"/>
          <w:sz w:val="28"/>
          <w:szCs w:val="28"/>
        </w:rPr>
      </w:pPr>
      <w:r w:rsidRPr="00580D8A">
        <w:rPr>
          <w:bCs/>
          <w:sz w:val="28"/>
          <w:szCs w:val="28"/>
        </w:rPr>
        <w:t xml:space="preserve">Издание и распространение информационных материалов о поддержке предпринимательства в средствах массовой информации. </w:t>
      </w:r>
    </w:p>
    <w:p w14:paraId="2C0BFDB2" w14:textId="079D6D45" w:rsidR="009A4DC1" w:rsidRDefault="00580D8A" w:rsidP="009A4DC1">
      <w:pPr>
        <w:pStyle w:val="a7"/>
        <w:ind w:left="0" w:firstLine="349"/>
        <w:jc w:val="both"/>
        <w:rPr>
          <w:color w:val="000000" w:themeColor="text1"/>
          <w:sz w:val="28"/>
          <w:szCs w:val="28"/>
        </w:rPr>
      </w:pPr>
      <w:r w:rsidRPr="00580D8A">
        <w:rPr>
          <w:color w:val="000000" w:themeColor="text1"/>
          <w:sz w:val="28"/>
          <w:szCs w:val="28"/>
        </w:rPr>
        <w:t>Совместно с общественно-политической газетой «Гатчина-Инфо» Фонд</w:t>
      </w:r>
      <w:r w:rsidR="00FB2C06">
        <w:rPr>
          <w:color w:val="000000" w:themeColor="text1"/>
          <w:sz w:val="28"/>
          <w:szCs w:val="28"/>
        </w:rPr>
        <w:t>а</w:t>
      </w:r>
      <w:r w:rsidRPr="00580D8A">
        <w:rPr>
          <w:color w:val="000000" w:themeColor="text1"/>
          <w:sz w:val="28"/>
          <w:szCs w:val="28"/>
        </w:rPr>
        <w:t>м</w:t>
      </w:r>
      <w:r w:rsidR="00FB2C06">
        <w:rPr>
          <w:color w:val="000000" w:themeColor="text1"/>
          <w:sz w:val="28"/>
          <w:szCs w:val="28"/>
        </w:rPr>
        <w:t>и</w:t>
      </w:r>
      <w:r w:rsidRPr="00580D8A">
        <w:rPr>
          <w:color w:val="000000" w:themeColor="text1"/>
          <w:sz w:val="28"/>
          <w:szCs w:val="28"/>
        </w:rPr>
        <w:t xml:space="preserve">, при поддержке Администрации Гатчинского муниципального района, осуществляются регулярные публикации о предпринимателях Гатчинского района, а также публикуется информация о нововведениях в законодательстве, мерах поддержки субъектов МСП и других важных для предпринимательского </w:t>
      </w:r>
      <w:r w:rsidRPr="00FB2C06">
        <w:rPr>
          <w:color w:val="000000" w:themeColor="text1"/>
          <w:sz w:val="28"/>
          <w:szCs w:val="28"/>
        </w:rPr>
        <w:t xml:space="preserve">сообщества вопросах. </w:t>
      </w:r>
    </w:p>
    <w:p w14:paraId="45AAD961" w14:textId="63106FE0" w:rsidR="00FD1B1B" w:rsidRPr="00580D8A" w:rsidRDefault="00FD1B1B" w:rsidP="009A4DC1">
      <w:pPr>
        <w:pStyle w:val="a7"/>
        <w:ind w:left="0" w:firstLine="349"/>
        <w:jc w:val="both"/>
        <w:rPr>
          <w:sz w:val="28"/>
          <w:szCs w:val="28"/>
        </w:rPr>
      </w:pPr>
      <w:r w:rsidRPr="00580D8A">
        <w:rPr>
          <w:sz w:val="28"/>
          <w:szCs w:val="28"/>
        </w:rPr>
        <w:t xml:space="preserve">Предоставление субсидий </w:t>
      </w:r>
      <w:r w:rsidR="001820A3" w:rsidRPr="00580D8A">
        <w:rPr>
          <w:sz w:val="28"/>
          <w:szCs w:val="28"/>
        </w:rPr>
        <w:t>субъектам малого предпринимательства</w:t>
      </w:r>
      <w:r w:rsidRPr="00580D8A">
        <w:rPr>
          <w:sz w:val="28"/>
          <w:szCs w:val="28"/>
        </w:rPr>
        <w:t xml:space="preserve"> на возмещение затрат на организацию предпринимательской деятельности.</w:t>
      </w:r>
    </w:p>
    <w:p w14:paraId="46623AED" w14:textId="77777777" w:rsidR="00FD1B1B" w:rsidRPr="005D0DF7" w:rsidRDefault="00FD1B1B" w:rsidP="008877F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D0DF7">
        <w:rPr>
          <w:sz w:val="28"/>
          <w:szCs w:val="28"/>
        </w:rPr>
        <w:t>В рамках муниципальной программы «Стимулирование экономической активности в Гатчинском муниципальном районе» осуществляется предоставление субсидий начинающим предпринимателям на возмещение затрат на организацию предпринимательской деятельности.</w:t>
      </w:r>
    </w:p>
    <w:p w14:paraId="226DFCE3" w14:textId="0437CC11" w:rsidR="0028608E" w:rsidRDefault="00FD1B1B" w:rsidP="0028608E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D0DF7">
        <w:rPr>
          <w:bCs/>
          <w:sz w:val="28"/>
          <w:szCs w:val="28"/>
        </w:rPr>
        <w:t>Субсидия предоставляется на конкурсной основе субъектам малого предпринимательства Гатчинского муниципального района, действующим менее 2 лет, ранее не осуществлявшим предпринимательскую деятельность в качестве индивидуального предпринимателя или учредителя коммерческой организации в течение не менее 5 лет до подачи заявки на конкурс</w:t>
      </w:r>
      <w:r w:rsidR="00EE728F" w:rsidRPr="005D0DF7">
        <w:rPr>
          <w:bCs/>
          <w:sz w:val="28"/>
          <w:szCs w:val="28"/>
        </w:rPr>
        <w:t>.</w:t>
      </w:r>
      <w:r w:rsidRPr="005D0DF7">
        <w:rPr>
          <w:bCs/>
          <w:sz w:val="28"/>
          <w:szCs w:val="28"/>
        </w:rPr>
        <w:t xml:space="preserve"> Возмещается не более 80% затрат на организацию предпринимательской деятельности и максимальный размер субсидии в 202</w:t>
      </w:r>
      <w:r w:rsidR="0028608E">
        <w:rPr>
          <w:bCs/>
          <w:sz w:val="28"/>
          <w:szCs w:val="28"/>
        </w:rPr>
        <w:t>3</w:t>
      </w:r>
      <w:r w:rsidRPr="005D0DF7">
        <w:rPr>
          <w:bCs/>
          <w:sz w:val="28"/>
          <w:szCs w:val="28"/>
        </w:rPr>
        <w:t xml:space="preserve"> году составляет 700 тысяч рублей. </w:t>
      </w:r>
      <w:r w:rsidR="00EE728F" w:rsidRPr="005D0DF7">
        <w:rPr>
          <w:bCs/>
          <w:sz w:val="28"/>
          <w:szCs w:val="28"/>
        </w:rPr>
        <w:t>Прием</w:t>
      </w:r>
      <w:r w:rsidRPr="005D0DF7">
        <w:rPr>
          <w:bCs/>
          <w:sz w:val="28"/>
          <w:szCs w:val="28"/>
        </w:rPr>
        <w:t xml:space="preserve"> конкурсн</w:t>
      </w:r>
      <w:r w:rsidR="00EE728F" w:rsidRPr="005D0DF7">
        <w:rPr>
          <w:bCs/>
          <w:sz w:val="28"/>
          <w:szCs w:val="28"/>
        </w:rPr>
        <w:t xml:space="preserve">ых заявок </w:t>
      </w:r>
      <w:r w:rsidR="0028608E">
        <w:rPr>
          <w:bCs/>
          <w:sz w:val="28"/>
          <w:szCs w:val="28"/>
        </w:rPr>
        <w:t xml:space="preserve">будет осуществляться во 2 квартале 2023 года. </w:t>
      </w:r>
    </w:p>
    <w:p w14:paraId="35B9106C" w14:textId="708B6342" w:rsidR="00EE728F" w:rsidRPr="003445C5" w:rsidRDefault="00FD1B1B" w:rsidP="0028608E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445C5">
        <w:rPr>
          <w:bCs/>
          <w:sz w:val="28"/>
          <w:szCs w:val="28"/>
        </w:rPr>
        <w:t>Комитет по управлению имуществом Гатчинского муниципального района оказывает имущественную поддержку субъектам малого и среднего предпринимательства</w:t>
      </w:r>
      <w:r w:rsidR="008877FE" w:rsidRPr="003445C5">
        <w:rPr>
          <w:bCs/>
          <w:sz w:val="28"/>
          <w:szCs w:val="28"/>
        </w:rPr>
        <w:t xml:space="preserve"> и самозанятым гражданам.</w:t>
      </w:r>
    </w:p>
    <w:p w14:paraId="17B7DBB3" w14:textId="77777777" w:rsidR="008877FE" w:rsidRPr="002E6938" w:rsidRDefault="008877FE" w:rsidP="008877FE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2E6938">
        <w:rPr>
          <w:bCs/>
          <w:sz w:val="28"/>
          <w:szCs w:val="28"/>
        </w:rPr>
        <w:t xml:space="preserve">Имущественная поддержка субъектов МСП и самозанятых осуществляется путем передачи во владение и (или) в пользование </w:t>
      </w:r>
      <w:r w:rsidRPr="002E6938">
        <w:rPr>
          <w:bCs/>
          <w:sz w:val="28"/>
          <w:szCs w:val="28"/>
        </w:rPr>
        <w:lastRenderedPageBreak/>
        <w:t xml:space="preserve">муниципального имущества, включенного в перечень имущества и сформированного для его предоставления субъектам МСП и самозанятым. </w:t>
      </w:r>
    </w:p>
    <w:p w14:paraId="03741B0D" w14:textId="77777777" w:rsidR="008877FE" w:rsidRPr="002E6938" w:rsidRDefault="008877FE" w:rsidP="008877FE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2E6938">
        <w:rPr>
          <w:bCs/>
          <w:sz w:val="28"/>
          <w:szCs w:val="28"/>
        </w:rPr>
        <w:t xml:space="preserve">В случае необходимости проведения капитального ремонта объекта недвижимости, находящихся в собственности МО «Город Гатчина» и МО «Гатчинский муниципальный район», предоставленного по договору аренды (в том числе, если объект аренды предоставляется в пользование в неудовлетворительном состоянии) арендатор муниципального имущества – субъект МСП имеет право воспользоваться зачетом стоимости затрат капитального ремонта в счет арендной платы в отношении объектов нежилого имущества. </w:t>
      </w:r>
    </w:p>
    <w:p w14:paraId="30734812" w14:textId="77777777" w:rsidR="00FD1B1B" w:rsidRPr="00017596" w:rsidRDefault="00FD1B1B" w:rsidP="008877FE">
      <w:pPr>
        <w:ind w:firstLine="709"/>
        <w:jc w:val="both"/>
        <w:rPr>
          <w:sz w:val="28"/>
          <w:szCs w:val="28"/>
        </w:rPr>
      </w:pPr>
      <w:r w:rsidRPr="00017596">
        <w:rPr>
          <w:sz w:val="28"/>
          <w:szCs w:val="28"/>
        </w:rPr>
        <w:t>Администрация Гатчинского муниципального района открыта для диалога с представителями предпринимательства и активно способствует снижению административных барьеров, а именно:</w:t>
      </w:r>
    </w:p>
    <w:p w14:paraId="51A09E20" w14:textId="168C8590" w:rsidR="00FD1B1B" w:rsidRPr="004F55C2" w:rsidRDefault="00FD1B1B" w:rsidP="00A371F2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  <w:r w:rsidRPr="00017596">
        <w:rPr>
          <w:sz w:val="28"/>
          <w:szCs w:val="28"/>
        </w:rPr>
        <w:t>- муниципальные услуги оказываются по принципу «одного окна», м</w:t>
      </w:r>
      <w:r w:rsidRPr="00017596">
        <w:rPr>
          <w:bCs/>
          <w:sz w:val="28"/>
          <w:szCs w:val="28"/>
        </w:rPr>
        <w:t>униципальные услуги предоставл</w:t>
      </w:r>
      <w:r w:rsidR="001820A3" w:rsidRPr="00017596">
        <w:rPr>
          <w:bCs/>
          <w:sz w:val="28"/>
          <w:szCs w:val="28"/>
        </w:rPr>
        <w:t>яются</w:t>
      </w:r>
      <w:r w:rsidRPr="00017596">
        <w:rPr>
          <w:bCs/>
          <w:sz w:val="28"/>
          <w:szCs w:val="28"/>
        </w:rPr>
        <w:t xml:space="preserve"> при обращении в многофункциональный центр предоставления государственных и муниципальных услуг, а также </w:t>
      </w:r>
      <w:r w:rsidRPr="00017596">
        <w:rPr>
          <w:sz w:val="28"/>
          <w:szCs w:val="28"/>
        </w:rPr>
        <w:t>в электронном виде через функционал электронной приёмной на Портале государственных и муниципальных услуг Ленинградской области.</w:t>
      </w:r>
      <w:r w:rsidR="00580D8A">
        <w:rPr>
          <w:sz w:val="28"/>
          <w:szCs w:val="28"/>
        </w:rPr>
        <w:t xml:space="preserve"> </w:t>
      </w:r>
      <w:r w:rsidR="00A371F2" w:rsidRPr="00017596">
        <w:rPr>
          <w:sz w:val="28"/>
          <w:szCs w:val="28"/>
        </w:rPr>
        <w:t xml:space="preserve">За </w:t>
      </w:r>
      <w:r w:rsidR="00525FB5">
        <w:rPr>
          <w:sz w:val="28"/>
          <w:szCs w:val="28"/>
        </w:rPr>
        <w:t xml:space="preserve">период с января по март </w:t>
      </w:r>
      <w:r w:rsidR="00A371F2" w:rsidRPr="00017596">
        <w:rPr>
          <w:sz w:val="28"/>
          <w:szCs w:val="28"/>
        </w:rPr>
        <w:t>202</w:t>
      </w:r>
      <w:r w:rsidR="00525FB5">
        <w:rPr>
          <w:sz w:val="28"/>
          <w:szCs w:val="28"/>
        </w:rPr>
        <w:t>3</w:t>
      </w:r>
      <w:r w:rsidR="00A371F2" w:rsidRPr="00017596">
        <w:rPr>
          <w:sz w:val="28"/>
          <w:szCs w:val="28"/>
        </w:rPr>
        <w:t xml:space="preserve"> год</w:t>
      </w:r>
      <w:r w:rsidR="00525FB5">
        <w:rPr>
          <w:sz w:val="28"/>
          <w:szCs w:val="28"/>
        </w:rPr>
        <w:t>а</w:t>
      </w:r>
      <w:r w:rsidR="00A371F2" w:rsidRPr="00017596">
        <w:rPr>
          <w:sz w:val="28"/>
          <w:szCs w:val="28"/>
        </w:rPr>
        <w:t xml:space="preserve"> было </w:t>
      </w:r>
      <w:r w:rsidR="00A371F2" w:rsidRPr="0037483C">
        <w:rPr>
          <w:sz w:val="28"/>
          <w:szCs w:val="28"/>
        </w:rPr>
        <w:t xml:space="preserve">оказано </w:t>
      </w:r>
      <w:r w:rsidR="00ED10E8">
        <w:rPr>
          <w:sz w:val="28"/>
          <w:szCs w:val="28"/>
        </w:rPr>
        <w:t>29</w:t>
      </w:r>
      <w:r w:rsidR="00DE36DF">
        <w:rPr>
          <w:sz w:val="28"/>
          <w:szCs w:val="28"/>
        </w:rPr>
        <w:t xml:space="preserve"> </w:t>
      </w:r>
      <w:r w:rsidR="0064749A" w:rsidRPr="0037483C">
        <w:rPr>
          <w:sz w:val="28"/>
          <w:szCs w:val="28"/>
        </w:rPr>
        <w:t>муниципальн</w:t>
      </w:r>
      <w:r w:rsidR="00A371F2" w:rsidRPr="0037483C">
        <w:rPr>
          <w:sz w:val="28"/>
          <w:szCs w:val="28"/>
        </w:rPr>
        <w:t>ы</w:t>
      </w:r>
      <w:r w:rsidR="00ED10E8">
        <w:rPr>
          <w:sz w:val="28"/>
          <w:szCs w:val="28"/>
        </w:rPr>
        <w:t>х</w:t>
      </w:r>
      <w:r w:rsidR="0064749A" w:rsidRPr="0037483C">
        <w:rPr>
          <w:sz w:val="28"/>
          <w:szCs w:val="28"/>
        </w:rPr>
        <w:t xml:space="preserve"> услуг «</w:t>
      </w:r>
      <w:r w:rsidR="00A371F2" w:rsidRPr="0037483C">
        <w:rPr>
          <w:sz w:val="28"/>
          <w:szCs w:val="28"/>
        </w:rPr>
        <w:t>Предоставление права на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области». Данная услуга представляется через МФЦ.</w:t>
      </w:r>
    </w:p>
    <w:p w14:paraId="19DF0553" w14:textId="77777777" w:rsidR="00A371F2" w:rsidRDefault="00A371F2" w:rsidP="00A371F2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</w:p>
    <w:p w14:paraId="6AC20401" w14:textId="77777777" w:rsidR="00325C5F" w:rsidRPr="008D0040" w:rsidRDefault="00325C5F" w:rsidP="00A371F2">
      <w:pPr>
        <w:tabs>
          <w:tab w:val="left" w:pos="851"/>
        </w:tabs>
        <w:ind w:firstLine="567"/>
        <w:jc w:val="both"/>
        <w:rPr>
          <w:spacing w:val="-6"/>
          <w:sz w:val="28"/>
          <w:szCs w:val="28"/>
        </w:rPr>
      </w:pPr>
    </w:p>
    <w:p w14:paraId="6ECE783E" w14:textId="01E7D6E4" w:rsidR="00DE36DF" w:rsidRDefault="00DE36DF" w:rsidP="00AA26D1">
      <w:pPr>
        <w:ind w:firstLine="540"/>
      </w:pPr>
    </w:p>
    <w:p w14:paraId="362B9FC0" w14:textId="429C6810" w:rsidR="00DE36DF" w:rsidRDefault="00DE36DF" w:rsidP="00AA26D1">
      <w:pPr>
        <w:ind w:firstLine="540"/>
      </w:pPr>
    </w:p>
    <w:p w14:paraId="0550FA18" w14:textId="0E971AC0" w:rsidR="00DE36DF" w:rsidRDefault="00DE36DF" w:rsidP="00AA26D1">
      <w:pPr>
        <w:ind w:firstLine="540"/>
      </w:pPr>
    </w:p>
    <w:p w14:paraId="55E9FBC9" w14:textId="0C6D252A" w:rsidR="00DE36DF" w:rsidRDefault="00DE36DF" w:rsidP="00AA26D1">
      <w:pPr>
        <w:ind w:firstLine="540"/>
      </w:pPr>
    </w:p>
    <w:p w14:paraId="52377940" w14:textId="3533608C" w:rsidR="00DE36DF" w:rsidRDefault="00DE36DF" w:rsidP="00AA26D1">
      <w:pPr>
        <w:ind w:firstLine="540"/>
      </w:pPr>
    </w:p>
    <w:p w14:paraId="73F9ECAD" w14:textId="55F99B30" w:rsidR="00DE36DF" w:rsidRDefault="00DE36DF" w:rsidP="00AA26D1">
      <w:pPr>
        <w:ind w:firstLine="540"/>
      </w:pPr>
    </w:p>
    <w:p w14:paraId="63C36178" w14:textId="597F1B0C" w:rsidR="00DE36DF" w:rsidRDefault="00DE36DF" w:rsidP="00AA26D1">
      <w:pPr>
        <w:ind w:firstLine="540"/>
      </w:pPr>
    </w:p>
    <w:p w14:paraId="7C3D8F1F" w14:textId="60A88A73" w:rsidR="00DE36DF" w:rsidRDefault="00DE36DF" w:rsidP="00AA26D1">
      <w:pPr>
        <w:ind w:firstLine="540"/>
      </w:pPr>
    </w:p>
    <w:p w14:paraId="3CD45716" w14:textId="391DC3C1" w:rsidR="00DE36DF" w:rsidRDefault="00DE36DF" w:rsidP="00AA26D1">
      <w:pPr>
        <w:ind w:firstLine="540"/>
      </w:pPr>
    </w:p>
    <w:p w14:paraId="45EB9802" w14:textId="7A3356D8" w:rsidR="00DE36DF" w:rsidRDefault="00DE36DF" w:rsidP="00AA26D1">
      <w:pPr>
        <w:ind w:firstLine="540"/>
      </w:pPr>
    </w:p>
    <w:p w14:paraId="1E979FAC" w14:textId="39D53F0F" w:rsidR="00DE36DF" w:rsidRDefault="00DE36DF" w:rsidP="00AA26D1">
      <w:pPr>
        <w:ind w:firstLine="540"/>
      </w:pPr>
    </w:p>
    <w:p w14:paraId="44E0F76B" w14:textId="05809CF7" w:rsidR="00DE36DF" w:rsidRDefault="00DE36DF" w:rsidP="00AA26D1">
      <w:pPr>
        <w:ind w:firstLine="540"/>
      </w:pPr>
    </w:p>
    <w:p w14:paraId="32126215" w14:textId="77777777" w:rsidR="00DE36DF" w:rsidRDefault="00DE36DF" w:rsidP="00AA26D1">
      <w:pPr>
        <w:ind w:firstLine="540"/>
      </w:pPr>
    </w:p>
    <w:p w14:paraId="2142DACD" w14:textId="77777777" w:rsidR="00A930D8" w:rsidRPr="00BA085C" w:rsidRDefault="00A930D8">
      <w:pPr>
        <w:rPr>
          <w:sz w:val="16"/>
          <w:szCs w:val="16"/>
        </w:rPr>
      </w:pPr>
    </w:p>
    <w:sectPr w:rsidR="00A930D8" w:rsidRPr="00BA085C" w:rsidSect="002F1FBF">
      <w:headerReference w:type="default" r:id="rId17"/>
      <w:pgSz w:w="11906" w:h="16838"/>
      <w:pgMar w:top="851" w:right="850" w:bottom="709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4460" w14:textId="77777777" w:rsidR="009861DF" w:rsidRDefault="009861DF" w:rsidP="00E97E7E">
      <w:r>
        <w:separator/>
      </w:r>
    </w:p>
  </w:endnote>
  <w:endnote w:type="continuationSeparator" w:id="0">
    <w:p w14:paraId="16155EA3" w14:textId="77777777" w:rsidR="009861DF" w:rsidRDefault="009861DF" w:rsidP="00E9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39A9" w14:textId="77777777" w:rsidR="009861DF" w:rsidRDefault="009861DF" w:rsidP="00E97E7E">
      <w:r>
        <w:separator/>
      </w:r>
    </w:p>
  </w:footnote>
  <w:footnote w:type="continuationSeparator" w:id="0">
    <w:p w14:paraId="27FB9697" w14:textId="77777777" w:rsidR="009861DF" w:rsidRDefault="009861DF" w:rsidP="00E9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29319"/>
      <w:docPartObj>
        <w:docPartGallery w:val="Page Numbers (Top of Page)"/>
        <w:docPartUnique/>
      </w:docPartObj>
    </w:sdtPr>
    <w:sdtContent>
      <w:p w14:paraId="4C3437E8" w14:textId="73726237" w:rsidR="003445C5" w:rsidRDefault="00595C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C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519694" w14:textId="77777777" w:rsidR="003445C5" w:rsidRDefault="003445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20A95"/>
    <w:multiLevelType w:val="hybridMultilevel"/>
    <w:tmpl w:val="BC70C5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 w15:restartNumberingAfterBreak="0">
    <w:nsid w:val="5517163D"/>
    <w:multiLevelType w:val="hybridMultilevel"/>
    <w:tmpl w:val="AEA68CBE"/>
    <w:lvl w:ilvl="0" w:tplc="F5823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7285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18A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CA2B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10A2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ADE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A67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68F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1C4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A937E78"/>
    <w:multiLevelType w:val="hybridMultilevel"/>
    <w:tmpl w:val="03B81822"/>
    <w:lvl w:ilvl="0" w:tplc="4D36A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BEA5A10"/>
    <w:multiLevelType w:val="hybridMultilevel"/>
    <w:tmpl w:val="C7940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FF7553"/>
    <w:multiLevelType w:val="hybridMultilevel"/>
    <w:tmpl w:val="2E92E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4A119E"/>
    <w:multiLevelType w:val="hybridMultilevel"/>
    <w:tmpl w:val="95161B2E"/>
    <w:lvl w:ilvl="0" w:tplc="2A1CC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49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0965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37940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0068900">
    <w:abstractNumId w:val="3"/>
  </w:num>
  <w:num w:numId="5" w16cid:durableId="1299724620">
    <w:abstractNumId w:val="2"/>
  </w:num>
  <w:num w:numId="6" w16cid:durableId="1275673716">
    <w:abstractNumId w:val="0"/>
  </w:num>
  <w:num w:numId="7" w16cid:durableId="1372221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D1"/>
    <w:rsid w:val="00005069"/>
    <w:rsid w:val="00015715"/>
    <w:rsid w:val="00017596"/>
    <w:rsid w:val="00025628"/>
    <w:rsid w:val="000414C0"/>
    <w:rsid w:val="00045955"/>
    <w:rsid w:val="00072E24"/>
    <w:rsid w:val="00081732"/>
    <w:rsid w:val="00081FE6"/>
    <w:rsid w:val="00093817"/>
    <w:rsid w:val="00094531"/>
    <w:rsid w:val="000A5DC8"/>
    <w:rsid w:val="000C62AE"/>
    <w:rsid w:val="000D79BB"/>
    <w:rsid w:val="000E073A"/>
    <w:rsid w:val="000E4592"/>
    <w:rsid w:val="000E7451"/>
    <w:rsid w:val="001004D8"/>
    <w:rsid w:val="001014B6"/>
    <w:rsid w:val="00102E7D"/>
    <w:rsid w:val="0010754B"/>
    <w:rsid w:val="0011167B"/>
    <w:rsid w:val="00127657"/>
    <w:rsid w:val="00131C14"/>
    <w:rsid w:val="00136BBE"/>
    <w:rsid w:val="00144183"/>
    <w:rsid w:val="00160C2E"/>
    <w:rsid w:val="001641E1"/>
    <w:rsid w:val="001706FD"/>
    <w:rsid w:val="001820A3"/>
    <w:rsid w:val="0019669D"/>
    <w:rsid w:val="001979EE"/>
    <w:rsid w:val="001A4460"/>
    <w:rsid w:val="001A6D16"/>
    <w:rsid w:val="001D1764"/>
    <w:rsid w:val="001D47C9"/>
    <w:rsid w:val="001D582D"/>
    <w:rsid w:val="001E32A8"/>
    <w:rsid w:val="001E78BB"/>
    <w:rsid w:val="00203300"/>
    <w:rsid w:val="00204983"/>
    <w:rsid w:val="00207F30"/>
    <w:rsid w:val="0021175E"/>
    <w:rsid w:val="0022301F"/>
    <w:rsid w:val="00236C30"/>
    <w:rsid w:val="0027301B"/>
    <w:rsid w:val="00276EB7"/>
    <w:rsid w:val="0028349E"/>
    <w:rsid w:val="0028608E"/>
    <w:rsid w:val="00286453"/>
    <w:rsid w:val="00291550"/>
    <w:rsid w:val="0029204C"/>
    <w:rsid w:val="00292B28"/>
    <w:rsid w:val="002C480F"/>
    <w:rsid w:val="002D2897"/>
    <w:rsid w:val="002D60CD"/>
    <w:rsid w:val="002E469B"/>
    <w:rsid w:val="002E6938"/>
    <w:rsid w:val="002F1FBF"/>
    <w:rsid w:val="002F4810"/>
    <w:rsid w:val="002F740E"/>
    <w:rsid w:val="003170D8"/>
    <w:rsid w:val="003175C7"/>
    <w:rsid w:val="00325C5F"/>
    <w:rsid w:val="003411F3"/>
    <w:rsid w:val="003445C5"/>
    <w:rsid w:val="00353F90"/>
    <w:rsid w:val="00361FF0"/>
    <w:rsid w:val="00365D9E"/>
    <w:rsid w:val="00367703"/>
    <w:rsid w:val="0037483C"/>
    <w:rsid w:val="00395DB4"/>
    <w:rsid w:val="0039794A"/>
    <w:rsid w:val="003A6119"/>
    <w:rsid w:val="003A7188"/>
    <w:rsid w:val="003B07B5"/>
    <w:rsid w:val="003B34B0"/>
    <w:rsid w:val="003B6525"/>
    <w:rsid w:val="003E05B9"/>
    <w:rsid w:val="003E7776"/>
    <w:rsid w:val="003F3814"/>
    <w:rsid w:val="003F4266"/>
    <w:rsid w:val="003F5449"/>
    <w:rsid w:val="003F64F9"/>
    <w:rsid w:val="00401464"/>
    <w:rsid w:val="00403850"/>
    <w:rsid w:val="00407B5C"/>
    <w:rsid w:val="00422824"/>
    <w:rsid w:val="00424B50"/>
    <w:rsid w:val="00425D78"/>
    <w:rsid w:val="0042686E"/>
    <w:rsid w:val="0043497F"/>
    <w:rsid w:val="00437923"/>
    <w:rsid w:val="004538BC"/>
    <w:rsid w:val="0045512C"/>
    <w:rsid w:val="00455B71"/>
    <w:rsid w:val="0046101E"/>
    <w:rsid w:val="004626DF"/>
    <w:rsid w:val="00470E1C"/>
    <w:rsid w:val="00474106"/>
    <w:rsid w:val="00485BBA"/>
    <w:rsid w:val="004947E9"/>
    <w:rsid w:val="00496BE7"/>
    <w:rsid w:val="004A0901"/>
    <w:rsid w:val="004A1443"/>
    <w:rsid w:val="004A3864"/>
    <w:rsid w:val="004A387E"/>
    <w:rsid w:val="004B15A4"/>
    <w:rsid w:val="004B2681"/>
    <w:rsid w:val="004B7ED1"/>
    <w:rsid w:val="004C3B90"/>
    <w:rsid w:val="004E4234"/>
    <w:rsid w:val="004E53FF"/>
    <w:rsid w:val="004F18C6"/>
    <w:rsid w:val="004F55C2"/>
    <w:rsid w:val="00502581"/>
    <w:rsid w:val="00503BC2"/>
    <w:rsid w:val="00513D10"/>
    <w:rsid w:val="00525FB5"/>
    <w:rsid w:val="00535385"/>
    <w:rsid w:val="00536AC6"/>
    <w:rsid w:val="005427A7"/>
    <w:rsid w:val="005435E9"/>
    <w:rsid w:val="005446F5"/>
    <w:rsid w:val="00546DCC"/>
    <w:rsid w:val="005472BE"/>
    <w:rsid w:val="00552B6D"/>
    <w:rsid w:val="005538DB"/>
    <w:rsid w:val="00564238"/>
    <w:rsid w:val="0057197B"/>
    <w:rsid w:val="00571DE1"/>
    <w:rsid w:val="005723CD"/>
    <w:rsid w:val="005743FB"/>
    <w:rsid w:val="00577F05"/>
    <w:rsid w:val="00580D8A"/>
    <w:rsid w:val="00595CFC"/>
    <w:rsid w:val="005B31F9"/>
    <w:rsid w:val="005B6706"/>
    <w:rsid w:val="005C35B7"/>
    <w:rsid w:val="005D0DF7"/>
    <w:rsid w:val="005F1FA0"/>
    <w:rsid w:val="005F3096"/>
    <w:rsid w:val="005F4A13"/>
    <w:rsid w:val="006022B1"/>
    <w:rsid w:val="00606ADF"/>
    <w:rsid w:val="006104A7"/>
    <w:rsid w:val="0061373F"/>
    <w:rsid w:val="0061432D"/>
    <w:rsid w:val="0062493C"/>
    <w:rsid w:val="00635564"/>
    <w:rsid w:val="00641927"/>
    <w:rsid w:val="00646ECF"/>
    <w:rsid w:val="0064749A"/>
    <w:rsid w:val="006534F6"/>
    <w:rsid w:val="006614E4"/>
    <w:rsid w:val="00667C32"/>
    <w:rsid w:val="00671E0A"/>
    <w:rsid w:val="006A0D8A"/>
    <w:rsid w:val="006C26C6"/>
    <w:rsid w:val="006D1457"/>
    <w:rsid w:val="006D31E4"/>
    <w:rsid w:val="006D6273"/>
    <w:rsid w:val="006E0AAC"/>
    <w:rsid w:val="006E4DFE"/>
    <w:rsid w:val="006F1391"/>
    <w:rsid w:val="007139EC"/>
    <w:rsid w:val="0071751F"/>
    <w:rsid w:val="00720298"/>
    <w:rsid w:val="00722851"/>
    <w:rsid w:val="00737B60"/>
    <w:rsid w:val="00750D26"/>
    <w:rsid w:val="00754E0B"/>
    <w:rsid w:val="00755F88"/>
    <w:rsid w:val="00777838"/>
    <w:rsid w:val="00797174"/>
    <w:rsid w:val="007A141B"/>
    <w:rsid w:val="007C2D5B"/>
    <w:rsid w:val="007C413A"/>
    <w:rsid w:val="007E0A23"/>
    <w:rsid w:val="007E4B7D"/>
    <w:rsid w:val="007F38FB"/>
    <w:rsid w:val="007F67CD"/>
    <w:rsid w:val="0081568C"/>
    <w:rsid w:val="00823394"/>
    <w:rsid w:val="00840BA5"/>
    <w:rsid w:val="008503B7"/>
    <w:rsid w:val="00863649"/>
    <w:rsid w:val="00870DDC"/>
    <w:rsid w:val="00876A7F"/>
    <w:rsid w:val="00886893"/>
    <w:rsid w:val="008877FE"/>
    <w:rsid w:val="008958A1"/>
    <w:rsid w:val="008B7C27"/>
    <w:rsid w:val="008C262E"/>
    <w:rsid w:val="008C2C25"/>
    <w:rsid w:val="008C3D8B"/>
    <w:rsid w:val="008D0040"/>
    <w:rsid w:val="008E3124"/>
    <w:rsid w:val="008F0181"/>
    <w:rsid w:val="008F1F05"/>
    <w:rsid w:val="008F5CFB"/>
    <w:rsid w:val="009017C3"/>
    <w:rsid w:val="009021B4"/>
    <w:rsid w:val="009055E5"/>
    <w:rsid w:val="009055ED"/>
    <w:rsid w:val="009071B1"/>
    <w:rsid w:val="00914A0D"/>
    <w:rsid w:val="00925AE8"/>
    <w:rsid w:val="00933491"/>
    <w:rsid w:val="00956498"/>
    <w:rsid w:val="00966AC6"/>
    <w:rsid w:val="009806F2"/>
    <w:rsid w:val="009861DF"/>
    <w:rsid w:val="00995DF2"/>
    <w:rsid w:val="009A2423"/>
    <w:rsid w:val="009A4DC1"/>
    <w:rsid w:val="009A7176"/>
    <w:rsid w:val="009A7CBC"/>
    <w:rsid w:val="009B0E10"/>
    <w:rsid w:val="009B40DE"/>
    <w:rsid w:val="009B6B36"/>
    <w:rsid w:val="009C1075"/>
    <w:rsid w:val="009D6748"/>
    <w:rsid w:val="009D67A2"/>
    <w:rsid w:val="009D7F33"/>
    <w:rsid w:val="009E2CCD"/>
    <w:rsid w:val="009F4B87"/>
    <w:rsid w:val="009F7B2D"/>
    <w:rsid w:val="00A000EC"/>
    <w:rsid w:val="00A05D62"/>
    <w:rsid w:val="00A0619B"/>
    <w:rsid w:val="00A140DD"/>
    <w:rsid w:val="00A14BC4"/>
    <w:rsid w:val="00A14CE9"/>
    <w:rsid w:val="00A1574E"/>
    <w:rsid w:val="00A21200"/>
    <w:rsid w:val="00A371F2"/>
    <w:rsid w:val="00A534C9"/>
    <w:rsid w:val="00A76B2C"/>
    <w:rsid w:val="00A801D2"/>
    <w:rsid w:val="00A81BF8"/>
    <w:rsid w:val="00A930D8"/>
    <w:rsid w:val="00A96C40"/>
    <w:rsid w:val="00AA26D1"/>
    <w:rsid w:val="00AA69C5"/>
    <w:rsid w:val="00AB5D68"/>
    <w:rsid w:val="00AD020A"/>
    <w:rsid w:val="00AD3F37"/>
    <w:rsid w:val="00AD6173"/>
    <w:rsid w:val="00AF0051"/>
    <w:rsid w:val="00AF02AF"/>
    <w:rsid w:val="00B148C6"/>
    <w:rsid w:val="00B14CA9"/>
    <w:rsid w:val="00B14CC4"/>
    <w:rsid w:val="00B319B0"/>
    <w:rsid w:val="00B47853"/>
    <w:rsid w:val="00B50CD5"/>
    <w:rsid w:val="00B62548"/>
    <w:rsid w:val="00B639DB"/>
    <w:rsid w:val="00B714E2"/>
    <w:rsid w:val="00B72F25"/>
    <w:rsid w:val="00B757D1"/>
    <w:rsid w:val="00B75C5A"/>
    <w:rsid w:val="00B86AD5"/>
    <w:rsid w:val="00B907F3"/>
    <w:rsid w:val="00B91D4B"/>
    <w:rsid w:val="00B921D5"/>
    <w:rsid w:val="00B92D7A"/>
    <w:rsid w:val="00B951AF"/>
    <w:rsid w:val="00BA085C"/>
    <w:rsid w:val="00BA2FF7"/>
    <w:rsid w:val="00BA37C8"/>
    <w:rsid w:val="00BA389B"/>
    <w:rsid w:val="00BA471C"/>
    <w:rsid w:val="00BB0472"/>
    <w:rsid w:val="00BB4794"/>
    <w:rsid w:val="00BB56C1"/>
    <w:rsid w:val="00BC0E96"/>
    <w:rsid w:val="00BC1904"/>
    <w:rsid w:val="00BC19AF"/>
    <w:rsid w:val="00BC376D"/>
    <w:rsid w:val="00BD717B"/>
    <w:rsid w:val="00BD79C9"/>
    <w:rsid w:val="00BE36F2"/>
    <w:rsid w:val="00BF724D"/>
    <w:rsid w:val="00C01139"/>
    <w:rsid w:val="00C02463"/>
    <w:rsid w:val="00C15E4F"/>
    <w:rsid w:val="00C21FE8"/>
    <w:rsid w:val="00C22610"/>
    <w:rsid w:val="00C308B6"/>
    <w:rsid w:val="00C32BCD"/>
    <w:rsid w:val="00C35B01"/>
    <w:rsid w:val="00C419E4"/>
    <w:rsid w:val="00C46F7C"/>
    <w:rsid w:val="00C5381D"/>
    <w:rsid w:val="00C56B54"/>
    <w:rsid w:val="00C744BE"/>
    <w:rsid w:val="00C84013"/>
    <w:rsid w:val="00C868B9"/>
    <w:rsid w:val="00CB163A"/>
    <w:rsid w:val="00CC59CA"/>
    <w:rsid w:val="00CD4A22"/>
    <w:rsid w:val="00CF20C3"/>
    <w:rsid w:val="00CF49FC"/>
    <w:rsid w:val="00CF582C"/>
    <w:rsid w:val="00CF6635"/>
    <w:rsid w:val="00CF6BCB"/>
    <w:rsid w:val="00D00962"/>
    <w:rsid w:val="00D07355"/>
    <w:rsid w:val="00D11E19"/>
    <w:rsid w:val="00D131BD"/>
    <w:rsid w:val="00D146DE"/>
    <w:rsid w:val="00D22D56"/>
    <w:rsid w:val="00D235BC"/>
    <w:rsid w:val="00D347E2"/>
    <w:rsid w:val="00D35962"/>
    <w:rsid w:val="00D40E06"/>
    <w:rsid w:val="00D4135E"/>
    <w:rsid w:val="00D41E31"/>
    <w:rsid w:val="00D44264"/>
    <w:rsid w:val="00D4462F"/>
    <w:rsid w:val="00D465EF"/>
    <w:rsid w:val="00D506C0"/>
    <w:rsid w:val="00D726A3"/>
    <w:rsid w:val="00D807FE"/>
    <w:rsid w:val="00D824B0"/>
    <w:rsid w:val="00D9196A"/>
    <w:rsid w:val="00D949D9"/>
    <w:rsid w:val="00DB0E5E"/>
    <w:rsid w:val="00DB4744"/>
    <w:rsid w:val="00DB7340"/>
    <w:rsid w:val="00DB7B5C"/>
    <w:rsid w:val="00DC08A6"/>
    <w:rsid w:val="00DC0C30"/>
    <w:rsid w:val="00DD151C"/>
    <w:rsid w:val="00DD314D"/>
    <w:rsid w:val="00DE1E8C"/>
    <w:rsid w:val="00DE36DF"/>
    <w:rsid w:val="00DE5B91"/>
    <w:rsid w:val="00DE6A7C"/>
    <w:rsid w:val="00DF4E38"/>
    <w:rsid w:val="00E06C0C"/>
    <w:rsid w:val="00E11F9F"/>
    <w:rsid w:val="00E15E3B"/>
    <w:rsid w:val="00E447A5"/>
    <w:rsid w:val="00E61531"/>
    <w:rsid w:val="00E64821"/>
    <w:rsid w:val="00E65C70"/>
    <w:rsid w:val="00E67DEC"/>
    <w:rsid w:val="00E70F1B"/>
    <w:rsid w:val="00E727EF"/>
    <w:rsid w:val="00E73726"/>
    <w:rsid w:val="00E9680F"/>
    <w:rsid w:val="00E97DD5"/>
    <w:rsid w:val="00E97E7E"/>
    <w:rsid w:val="00EB5770"/>
    <w:rsid w:val="00EB71D9"/>
    <w:rsid w:val="00EC0C41"/>
    <w:rsid w:val="00EC635F"/>
    <w:rsid w:val="00ED01CF"/>
    <w:rsid w:val="00ED0B90"/>
    <w:rsid w:val="00ED10E8"/>
    <w:rsid w:val="00EE6A47"/>
    <w:rsid w:val="00EE728F"/>
    <w:rsid w:val="00F01DFA"/>
    <w:rsid w:val="00F45D96"/>
    <w:rsid w:val="00F47B80"/>
    <w:rsid w:val="00F5267E"/>
    <w:rsid w:val="00F675B8"/>
    <w:rsid w:val="00F71923"/>
    <w:rsid w:val="00F73292"/>
    <w:rsid w:val="00F75F95"/>
    <w:rsid w:val="00F80659"/>
    <w:rsid w:val="00F8253C"/>
    <w:rsid w:val="00F82884"/>
    <w:rsid w:val="00F925D8"/>
    <w:rsid w:val="00F970C8"/>
    <w:rsid w:val="00FA03BE"/>
    <w:rsid w:val="00FB2C06"/>
    <w:rsid w:val="00FB4C96"/>
    <w:rsid w:val="00FC127E"/>
    <w:rsid w:val="00FC1378"/>
    <w:rsid w:val="00FC7986"/>
    <w:rsid w:val="00FD1B1B"/>
    <w:rsid w:val="00FD386B"/>
    <w:rsid w:val="00FD5A1B"/>
    <w:rsid w:val="00FD6E36"/>
    <w:rsid w:val="00FF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4AD3"/>
  <w15:docId w15:val="{9365381E-CF0F-4DFD-A9B6-7D5DA3D9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0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B474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D1B1B"/>
    <w:pPr>
      <w:ind w:left="720"/>
      <w:contextualSpacing/>
    </w:pPr>
  </w:style>
  <w:style w:type="paragraph" w:customStyle="1" w:styleId="western">
    <w:name w:val="western"/>
    <w:basedOn w:val="a"/>
    <w:rsid w:val="004B7ED1"/>
    <w:pPr>
      <w:spacing w:before="100" w:beforeAutospacing="1" w:after="142" w:line="288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97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7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7E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mailto:mfpmpgr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mailto:mspfond-gtn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a_prom\Documents\&#1054;&#1058;&#1063;&#1045;&#1058;&#1067;%20&#1057;&#1069;&#1056;%20&#1043;&#1052;&#1056;%20&#1080;%20&#1043;&#1072;&#1090;&#1095;&#1080;&#1085;&#1072;\2022%20&#1075;&#1086;&#1076;\!&#1075;&#1088;&#1072;&#1092;&#1080;&#1082;&#1080;,%20&#1076;&#1080;&#1072;&#1075;&#1088;&#1072;&#1084;&#1084;&#1099;%202022-&#1087;&#1086;&#1090;&#1088;&#1077;&#1073;.&#1088;&#1099;&#1085;&#1086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a_prom\Documents\&#1054;&#1058;&#1063;&#1045;&#1058;&#1067;%20&#1057;&#1069;&#1056;%20&#1043;&#1052;&#1056;%20&#1080;%20&#1043;&#1072;&#1090;&#1095;&#1080;&#1085;&#1072;\2022%20&#1075;&#1086;&#1076;\!&#1075;&#1088;&#1072;&#1092;&#1080;&#1082;&#1080;,%20&#1076;&#1080;&#1072;&#1075;&#1088;&#1072;&#1084;&#1084;&#1099;%202022-&#1087;&#1086;&#1090;&#1088;&#1077;&#1073;.&#1088;&#1099;&#1085;&#1086;&#108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a_prom\Documents\&#1054;&#1058;&#1063;&#1045;&#1058;&#1067;%20&#1057;&#1069;&#1056;%20&#1043;&#1052;&#1056;%20&#1080;%20&#1043;&#1072;&#1090;&#1095;&#1080;&#1085;&#1072;\2022%20&#1075;&#1086;&#1076;\!&#1075;&#1088;&#1072;&#1092;&#1080;&#1082;&#1080;,%20&#1076;&#1080;&#1072;&#1075;&#1088;&#1072;&#1084;&#1084;&#1099;%202022-&#1087;&#1086;&#1090;&#1088;&#1077;&#1073;.&#1088;&#1099;&#1085;&#1086;&#108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a_prom\Documents\&#1054;&#1058;&#1063;&#1045;&#1058;&#1067;%20&#1057;&#1069;&#1056;%20&#1043;&#1052;&#1056;%20&#1080;%20&#1043;&#1072;&#1090;&#1095;&#1080;&#1085;&#1072;\2022%20&#1075;&#1086;&#1076;\!&#1075;&#1088;&#1072;&#1092;&#1080;&#1082;&#1080;,%20&#1076;&#1080;&#1072;&#1075;&#1088;&#1072;&#1084;&#1084;&#1099;%202022-&#1087;&#1086;&#1090;&#1088;&#1077;&#1073;.&#1088;&#1099;&#1085;&#1086;&#108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a_prom\Documents\&#1054;&#1058;&#1063;&#1045;&#1058;&#1067;%20&#1057;&#1069;&#1056;%20&#1043;&#1052;&#1056;%20&#1080;%20&#1043;&#1072;&#1090;&#1095;&#1080;&#1085;&#1072;\2022%20&#1075;&#1086;&#1076;\!&#1075;&#1088;&#1072;&#1092;&#1080;&#1082;&#1080;,%20&#1076;&#1080;&#1072;&#1075;&#1088;&#1072;&#1084;&#1084;&#1099;%202022-&#1087;&#1086;&#1090;&#1088;&#1077;&#1073;.&#1088;&#1099;&#1085;&#1086;&#108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rg1\Desktop\&#1052;&#1086;&#1080;%20&#1076;&#1086;&#1082;&#1091;&#1084;&#1077;&#1085;&#1090;&#1099;\!&#1054;&#1058;&#1063;&#1045;&#1058;&#1067;\&#1054;&#1090;&#1095;&#1077;&#1090;&#1099;%20&#1057;&#1069;&#1056;\1%20&#1082;&#1074;%202023\!&#1075;&#1088;&#1072;&#1092;&#1080;&#1082;&#1080;,%20&#1076;&#1080;&#1072;&#1075;&#1088;&#1072;&#1084;&#1084;&#1099;%202022-&#1052;&#1057;&#105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предприятий потребительского рынка на 01.</a:t>
            </a:r>
            <a:r>
              <a:rPr lang="en-US">
                <a:latin typeface="Times New Roman" pitchFamily="18" charset="0"/>
                <a:cs typeface="Times New Roman" pitchFamily="18" charset="0"/>
              </a:rPr>
              <a:t>04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.2023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'ГМР 1кв2022'!$O$4</c:f>
              <c:strCache>
                <c:ptCount val="1"/>
                <c:pt idx="0">
                  <c:v>1 кв. 2023 г.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'ГМР 1кв2022'!$P$1:$R$1</c:f>
              <c:strCache>
                <c:ptCount val="3"/>
                <c:pt idx="0">
                  <c:v>предприятия розничной торговли, ед.</c:v>
                </c:pt>
                <c:pt idx="1">
                  <c:v>предприятия общественного питания, ед.</c:v>
                </c:pt>
                <c:pt idx="2">
                  <c:v>предприятия бытового обслуживания населения, ед.</c:v>
                </c:pt>
              </c:strCache>
            </c:strRef>
          </c:cat>
          <c:val>
            <c:numRef>
              <c:f>'ГМР 1кв2022'!$P$4:$R$4</c:f>
              <c:numCache>
                <c:formatCode>General</c:formatCode>
                <c:ptCount val="3"/>
                <c:pt idx="0">
                  <c:v>2199</c:v>
                </c:pt>
                <c:pt idx="1">
                  <c:v>278</c:v>
                </c:pt>
                <c:pt idx="2">
                  <c:v>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63-4A00-8FAB-E36B13BC74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Предприятия розничной торговли</a:t>
            </a:r>
          </a:p>
        </c:rich>
      </c:tx>
      <c:layout>
        <c:manualLayout>
          <c:xMode val="edge"/>
          <c:yMode val="edge"/>
          <c:x val="0.23090241904537001"/>
          <c:y val="1.851851851851851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'ГМР 1кв2022'!$H$1</c:f>
              <c:strCache>
                <c:ptCount val="1"/>
                <c:pt idx="0">
                  <c:v>количество сетей предприятий розничной торговли, ед.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'ГМР 1кв2022'!$G$4:$G$5</c:f>
              <c:strCache>
                <c:ptCount val="2"/>
                <c:pt idx="0">
                  <c:v>1 кв. 2022 года</c:v>
                </c:pt>
                <c:pt idx="1">
                  <c:v>1 кв. 2023 года</c:v>
                </c:pt>
              </c:strCache>
            </c:strRef>
          </c:cat>
          <c:val>
            <c:numRef>
              <c:f>'ГМР 1кв2022'!$H$4:$H$5</c:f>
              <c:numCache>
                <c:formatCode>General</c:formatCode>
                <c:ptCount val="2"/>
                <c:pt idx="0">
                  <c:v>204</c:v>
                </c:pt>
                <c:pt idx="1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8E-48B2-8850-AAB296CCC844}"/>
            </c:ext>
          </c:extLst>
        </c:ser>
        <c:ser>
          <c:idx val="1"/>
          <c:order val="1"/>
          <c:tx>
            <c:strRef>
              <c:f>'ГМР 1кв2022'!$I$1</c:f>
              <c:strCache>
                <c:ptCount val="1"/>
                <c:pt idx="0">
                  <c:v>количество магазинов предприятий розничной торговли, ед.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'ГМР 1кв2022'!$G$4:$G$5</c:f>
              <c:strCache>
                <c:ptCount val="2"/>
                <c:pt idx="0">
                  <c:v>1 кв. 2022 года</c:v>
                </c:pt>
                <c:pt idx="1">
                  <c:v>1 кв. 2023 года</c:v>
                </c:pt>
              </c:strCache>
            </c:strRef>
          </c:cat>
          <c:val>
            <c:numRef>
              <c:f>'ГМР 1кв2022'!$I$4:$I$5</c:f>
              <c:numCache>
                <c:formatCode>General</c:formatCode>
                <c:ptCount val="2"/>
                <c:pt idx="0">
                  <c:v>637</c:v>
                </c:pt>
                <c:pt idx="1">
                  <c:v>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8E-48B2-8850-AAB296CCC8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0517760"/>
        <c:axId val="80871808"/>
        <c:axId val="0"/>
      </c:bar3DChart>
      <c:catAx>
        <c:axId val="8051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0871808"/>
        <c:crosses val="autoZero"/>
        <c:auto val="1"/>
        <c:lblAlgn val="ctr"/>
        <c:lblOffset val="100"/>
        <c:noMultiLvlLbl val="0"/>
      </c:catAx>
      <c:valAx>
        <c:axId val="80871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05177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Предприятия общественного питания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'ГМР 1кв2022'!$K$1</c:f>
              <c:strCache>
                <c:ptCount val="1"/>
                <c:pt idx="0">
                  <c:v>количество сетей предприятий общественного питания, ед.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'ГМР 1кв2022'!$G$4:$G$5</c:f>
              <c:strCache>
                <c:ptCount val="2"/>
                <c:pt idx="0">
                  <c:v>1 кв. 2022 года</c:v>
                </c:pt>
                <c:pt idx="1">
                  <c:v>1 кв. 2023 года</c:v>
                </c:pt>
              </c:strCache>
            </c:strRef>
          </c:cat>
          <c:val>
            <c:numRef>
              <c:f>'ГМР 1кв2022'!$K$4:$K$5</c:f>
              <c:numCache>
                <c:formatCode>General</c:formatCode>
                <c:ptCount val="2"/>
                <c:pt idx="0">
                  <c:v>28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F4-4C14-9D88-BCF09E4CF5D0}"/>
            </c:ext>
          </c:extLst>
        </c:ser>
        <c:ser>
          <c:idx val="1"/>
          <c:order val="1"/>
          <c:tx>
            <c:strRef>
              <c:f>'ГМР 1кв2022'!$L$1</c:f>
              <c:strCache>
                <c:ptCount val="1"/>
                <c:pt idx="0">
                  <c:v>количество сетевых предприятий общественного питания, ед.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'ГМР 1кв2022'!$G$4:$G$5</c:f>
              <c:strCache>
                <c:ptCount val="2"/>
                <c:pt idx="0">
                  <c:v>1 кв. 2022 года</c:v>
                </c:pt>
                <c:pt idx="1">
                  <c:v>1 кв. 2023 года</c:v>
                </c:pt>
              </c:strCache>
            </c:strRef>
          </c:cat>
          <c:val>
            <c:numRef>
              <c:f>'ГМР 1кв2022'!$L$4:$L$5</c:f>
              <c:numCache>
                <c:formatCode>General</c:formatCode>
                <c:ptCount val="2"/>
                <c:pt idx="0">
                  <c:v>39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F4-4C14-9D88-BCF09E4CF5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0889728"/>
        <c:axId val="80891264"/>
        <c:axId val="0"/>
      </c:bar3DChart>
      <c:catAx>
        <c:axId val="8088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0891264"/>
        <c:crosses val="autoZero"/>
        <c:auto val="1"/>
        <c:lblAlgn val="ctr"/>
        <c:lblOffset val="100"/>
        <c:noMultiLvlLbl val="0"/>
      </c:catAx>
      <c:valAx>
        <c:axId val="808912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08897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Ярмарочная деятельность на территории ГМР</a:t>
            </a:r>
          </a:p>
        </c:rich>
      </c:tx>
      <c:layout>
        <c:manualLayout>
          <c:xMode val="edge"/>
          <c:yMode val="edge"/>
          <c:x val="0.12376615849477005"/>
          <c:y val="2.979339296312115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'ГМР 1кв2022 (2)'!$A$4</c:f>
              <c:strCache>
                <c:ptCount val="1"/>
                <c:pt idx="0">
                  <c:v>1 кв. 2022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'ГМР 1кв2022 (2)'!$B$1:$D$1</c:f>
              <c:strCache>
                <c:ptCount val="3"/>
                <c:pt idx="0">
                  <c:v>количество зарегистрированных площадок, ед.</c:v>
                </c:pt>
                <c:pt idx="1">
                  <c:v>количество проведенных ярмарок, ед.</c:v>
                </c:pt>
                <c:pt idx="2">
                  <c:v>количество торговых мест, ед.</c:v>
                </c:pt>
              </c:strCache>
            </c:strRef>
          </c:cat>
          <c:val>
            <c:numRef>
              <c:f>'ГМР 1кв2022 (2)'!$B$4:$D$4</c:f>
              <c:numCache>
                <c:formatCode>General</c:formatCode>
                <c:ptCount val="3"/>
                <c:pt idx="0">
                  <c:v>33</c:v>
                </c:pt>
                <c:pt idx="1">
                  <c:v>27</c:v>
                </c:pt>
                <c:pt idx="2">
                  <c:v>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36-4203-8E76-8009C44CC974}"/>
            </c:ext>
          </c:extLst>
        </c:ser>
        <c:ser>
          <c:idx val="1"/>
          <c:order val="1"/>
          <c:tx>
            <c:strRef>
              <c:f>'ГМР 1кв2022 (2)'!$A$5</c:f>
              <c:strCache>
                <c:ptCount val="1"/>
                <c:pt idx="0">
                  <c:v>1 кв. 2023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'ГМР 1кв2022 (2)'!$B$1:$D$1</c:f>
              <c:strCache>
                <c:ptCount val="3"/>
                <c:pt idx="0">
                  <c:v>количество зарегистрированных площадок, ед.</c:v>
                </c:pt>
                <c:pt idx="1">
                  <c:v>количество проведенных ярмарок, ед.</c:v>
                </c:pt>
                <c:pt idx="2">
                  <c:v>количество торговых мест, ед.</c:v>
                </c:pt>
              </c:strCache>
            </c:strRef>
          </c:cat>
          <c:val>
            <c:numRef>
              <c:f>'ГМР 1кв2022 (2)'!$B$5:$D$5</c:f>
              <c:numCache>
                <c:formatCode>General</c:formatCode>
                <c:ptCount val="3"/>
                <c:pt idx="0">
                  <c:v>34</c:v>
                </c:pt>
                <c:pt idx="1">
                  <c:v>24</c:v>
                </c:pt>
                <c:pt idx="2">
                  <c:v>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36-4203-8E76-8009C44CC9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0987264"/>
        <c:axId val="80988800"/>
        <c:axId val="0"/>
      </c:bar3DChart>
      <c:catAx>
        <c:axId val="80987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0988800"/>
        <c:crosses val="autoZero"/>
        <c:auto val="1"/>
        <c:lblAlgn val="ctr"/>
        <c:lblOffset val="100"/>
        <c:noMultiLvlLbl val="0"/>
      </c:catAx>
      <c:valAx>
        <c:axId val="80988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09872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Оборот розничной торговли</a:t>
            </a:r>
            <a:r>
              <a:rPr lang="ru-RU" baseline="0"/>
              <a:t> и</a:t>
            </a:r>
            <a:r>
              <a:rPr lang="ru-RU"/>
              <a:t> общественного питания, объем платных услуг населению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'ГМР 1кв2022 (2)'!$V$1</c:f>
              <c:strCache>
                <c:ptCount val="1"/>
                <c:pt idx="0">
                  <c:v>оборот розничной торговли, млн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'ГМР 1кв2022 (2)'!$U$4:$U$5</c:f>
              <c:strCache>
                <c:ptCount val="2"/>
                <c:pt idx="0">
                  <c:v>1 кв. 2022 года</c:v>
                </c:pt>
                <c:pt idx="1">
                  <c:v>1 кв. 2023 года</c:v>
                </c:pt>
              </c:strCache>
            </c:strRef>
          </c:cat>
          <c:val>
            <c:numRef>
              <c:f>'ГМР 1кв2022 (2)'!$V$4:$V$5</c:f>
              <c:numCache>
                <c:formatCode>#\ ##0.00000</c:formatCode>
                <c:ptCount val="2"/>
                <c:pt idx="0">
                  <c:v>8212.2440000000006</c:v>
                </c:pt>
                <c:pt idx="1">
                  <c:v>8022.2924999999996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3-4FCD-8E85-E3A4D329950E}"/>
            </c:ext>
          </c:extLst>
        </c:ser>
        <c:ser>
          <c:idx val="1"/>
          <c:order val="1"/>
          <c:tx>
            <c:strRef>
              <c:f>'ГМР 1кв2022 (2)'!$W$1</c:f>
              <c:strCache>
                <c:ptCount val="1"/>
                <c:pt idx="0">
                  <c:v>оборот общественного питания, млн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'ГМР 1кв2022 (2)'!$U$4:$U$5</c:f>
              <c:strCache>
                <c:ptCount val="2"/>
                <c:pt idx="0">
                  <c:v>1 кв. 2022 года</c:v>
                </c:pt>
                <c:pt idx="1">
                  <c:v>1 кв. 2023 года</c:v>
                </c:pt>
              </c:strCache>
            </c:strRef>
          </c:cat>
          <c:val>
            <c:numRef>
              <c:f>'ГМР 1кв2022 (2)'!$W$4:$W$5</c:f>
              <c:numCache>
                <c:formatCode>#\ ##0.00000</c:formatCode>
                <c:ptCount val="2"/>
                <c:pt idx="0">
                  <c:v>139.82420000000002</c:v>
                </c:pt>
                <c:pt idx="1">
                  <c:v>139.76329999999999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B3-4FCD-8E85-E3A4D329950E}"/>
            </c:ext>
          </c:extLst>
        </c:ser>
        <c:ser>
          <c:idx val="2"/>
          <c:order val="2"/>
          <c:tx>
            <c:strRef>
              <c:f>'ГМР 1кв2022 (2)'!$X$1</c:f>
              <c:strCache>
                <c:ptCount val="1"/>
                <c:pt idx="0">
                  <c:v>объем платных услуг населению, млн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'ГМР 1кв2022 (2)'!$U$4:$U$5</c:f>
              <c:strCache>
                <c:ptCount val="2"/>
                <c:pt idx="0">
                  <c:v>1 кв. 2022 года</c:v>
                </c:pt>
                <c:pt idx="1">
                  <c:v>1 кв. 2023 года</c:v>
                </c:pt>
              </c:strCache>
            </c:strRef>
          </c:cat>
          <c:val>
            <c:numRef>
              <c:f>'ГМР 1кв2022 (2)'!$X$4:$X$5</c:f>
              <c:numCache>
                <c:formatCode>#\ ##0.00000</c:formatCode>
                <c:ptCount val="2"/>
                <c:pt idx="0">
                  <c:v>2604.1202000000003</c:v>
                </c:pt>
                <c:pt idx="1">
                  <c:v>2801.7075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B3-4FCD-8E85-E3A4D32995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81052032"/>
        <c:axId val="81053568"/>
        <c:axId val="0"/>
      </c:bar3DChart>
      <c:catAx>
        <c:axId val="8105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1053568"/>
        <c:crosses val="autoZero"/>
        <c:auto val="1"/>
        <c:lblAlgn val="ctr"/>
        <c:lblOffset val="100"/>
        <c:noMultiLvlLbl val="0"/>
      </c:catAx>
      <c:valAx>
        <c:axId val="81053568"/>
        <c:scaling>
          <c:orientation val="minMax"/>
        </c:scaling>
        <c:delete val="0"/>
        <c:axPos val="l"/>
        <c:numFmt formatCode="#\ ##0.00000" sourceLinked="1"/>
        <c:majorTickMark val="none"/>
        <c:minorTickMark val="none"/>
        <c:tickLblPos val="nextTo"/>
        <c:crossAx val="810520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субъектов</a:t>
            </a:r>
            <a:r>
              <a:rPr lang="ru-RU" baseline="0"/>
              <a:t> МСП ГМР по состоянию на </a:t>
            </a:r>
            <a:r>
              <a:rPr lang="en-US" baseline="0"/>
              <a:t>10</a:t>
            </a:r>
            <a:r>
              <a:rPr lang="ru-RU" baseline="0"/>
              <a:t>.0</a:t>
            </a:r>
            <a:r>
              <a:rPr lang="en-US" baseline="0"/>
              <a:t>4</a:t>
            </a:r>
            <a:r>
              <a:rPr lang="ru-RU" baseline="0"/>
              <a:t>.2023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4.0257887227183854E-2"/>
                  <c:y val="-2.945490747825808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39-4415-A89E-DCB65A40696D}"/>
                </c:ext>
              </c:extLst>
            </c:dLbl>
            <c:dLbl>
              <c:idx val="1"/>
              <c:layout>
                <c:manualLayout>
                  <c:x val="4.9623914460356884E-3"/>
                  <c:y val="1.8930549041871372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39-4415-A89E-DCB65A40696D}"/>
                </c:ext>
              </c:extLst>
            </c:dLbl>
            <c:dLbl>
              <c:idx val="2"/>
              <c:layout>
                <c:manualLayout>
                  <c:x val="6.5260705666825208E-2"/>
                  <c:y val="-0.23039090333144094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39-4415-A89E-DCB65A4069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 2022 '!$A$25:$A$27</c:f>
              <c:strCache>
                <c:ptCount val="3"/>
                <c:pt idx="0">
                  <c:v>Средние предприятия</c:v>
                </c:pt>
                <c:pt idx="1">
                  <c:v>Малые предприятия</c:v>
                </c:pt>
                <c:pt idx="2">
                  <c:v>Микропредприятия</c:v>
                </c:pt>
              </c:strCache>
            </c:strRef>
          </c:cat>
          <c:val>
            <c:numRef>
              <c:f>' 2022 '!$J$25:$J$27</c:f>
              <c:numCache>
                <c:formatCode>General</c:formatCode>
                <c:ptCount val="3"/>
                <c:pt idx="0">
                  <c:v>40</c:v>
                </c:pt>
                <c:pt idx="1">
                  <c:v>294</c:v>
                </c:pt>
                <c:pt idx="2">
                  <c:v>6480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39-4415-A89E-DCB65A4069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869242015889212"/>
          <c:y val="0.43458972017212588"/>
          <c:w val="0.24998766932656921"/>
          <c:h val="0.22674499543356474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Обучающие курсы,</a:t>
            </a:r>
            <a:r>
              <a:rPr lang="ru-RU" baseline="0"/>
              <a:t> семинары и тренинги в 1 квартале 2023года</a:t>
            </a:r>
          </a:p>
          <a:p>
            <a:pPr>
              <a:defRPr/>
            </a:pPr>
            <a:r>
              <a:rPr lang="ru-RU" baseline="0"/>
              <a:t> </a:t>
            </a:r>
            <a:r>
              <a:rPr lang="ru-RU" sz="1400" i="1" baseline="0"/>
              <a:t>(кол-во участников)</a:t>
            </a:r>
            <a:endParaRPr lang="ru-RU" sz="1400" i="1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 2022 '!$A$1</c:f>
              <c:strCache>
                <c:ptCount val="1"/>
                <c:pt idx="0">
                  <c:v>Индивидуальные консультации всего за 3 месяца 2022 года, в том числе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9758-4C3B-8D85-37A3E0FB07A3}"/>
              </c:ext>
            </c:extLst>
          </c:dPt>
          <c:dPt>
            <c:idx val="1"/>
            <c:bubble3D val="0"/>
            <c:spPr>
              <a:solidFill>
                <a:srgbClr val="FF3300"/>
              </a:solidFill>
            </c:spPr>
            <c:extLst>
              <c:ext xmlns:c16="http://schemas.microsoft.com/office/drawing/2014/chart" uri="{C3380CC4-5D6E-409C-BE32-E72D297353CC}">
                <c16:uniqueId val="{00000003-9758-4C3B-8D85-37A3E0FB07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 2022 '!$B$1:$C$1</c:f>
              <c:strCache>
                <c:ptCount val="2"/>
                <c:pt idx="0">
                  <c:v>оказываемые на платной основе, ед.</c:v>
                </c:pt>
                <c:pt idx="1">
                  <c:v>оказываемые на бесплатной основе, ед.</c:v>
                </c:pt>
              </c:strCache>
            </c:strRef>
          </c:cat>
          <c:val>
            <c:numRef>
              <c:f>' 2022 '!$B$14:$B$19</c:f>
              <c:numCache>
                <c:formatCode>General</c:formatCode>
                <c:ptCount val="6"/>
                <c:pt idx="0">
                  <c:v>82</c:v>
                </c:pt>
                <c:pt idx="1">
                  <c:v>82</c:v>
                </c:pt>
                <c:pt idx="2">
                  <c:v>69</c:v>
                </c:pt>
                <c:pt idx="3">
                  <c:v>30</c:v>
                </c:pt>
                <c:pt idx="4">
                  <c:v>32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58-4C3B-8D85-37A3E0FB07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/>
              <a:t>Динамика  количества субъектов МСП, участвующих в тренингах и семинарах в Гатчинском муниципальном районе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7.9247594050743664E-2"/>
          <c:y val="0.14593939393939395"/>
          <c:w val="0.89019685039370078"/>
          <c:h val="0.77541207349081365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2022 '!$B$13:$C$13</c:f>
              <c:strCache>
                <c:ptCount val="2"/>
                <c:pt idx="0">
                  <c:v>1 кв 2023 г, количество, уч.</c:v>
                </c:pt>
                <c:pt idx="1">
                  <c:v>1 кв 2022 г количество, уч.</c:v>
                </c:pt>
              </c:strCache>
            </c:strRef>
          </c:cat>
          <c:val>
            <c:numRef>
              <c:f>' 2022 '!$B$14:$C$14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64-419A-A0EA-80E94B3546C4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2022 '!$B$13:$C$13</c:f>
              <c:strCache>
                <c:ptCount val="2"/>
                <c:pt idx="0">
                  <c:v>1 кв 2023 г, количество, уч.</c:v>
                </c:pt>
                <c:pt idx="1">
                  <c:v>1 кв 2022 г количество, уч.</c:v>
                </c:pt>
              </c:strCache>
            </c:strRef>
          </c:cat>
          <c:val>
            <c:numRef>
              <c:f>' 2022 '!$B$15:$C$15</c:f>
              <c:numCache>
                <c:formatCode>General</c:formatCode>
                <c:ptCount val="2"/>
                <c:pt idx="0">
                  <c:v>82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64-419A-A0EA-80E94B3546C4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2022 '!$B$13:$C$13</c:f>
              <c:strCache>
                <c:ptCount val="2"/>
                <c:pt idx="0">
                  <c:v>1 кв 2023 г, количество, уч.</c:v>
                </c:pt>
                <c:pt idx="1">
                  <c:v>1 кв 2022 г количество, уч.</c:v>
                </c:pt>
              </c:strCache>
            </c:strRef>
          </c:cat>
          <c:val>
            <c:numRef>
              <c:f>' 2022 '!$B$16:$C$16</c:f>
              <c:numCache>
                <c:formatCode>General</c:formatCode>
                <c:ptCount val="2"/>
                <c:pt idx="0">
                  <c:v>69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64-419A-A0EA-80E94B3546C4}"/>
            </c:ext>
          </c:extLst>
        </c:ser>
        <c:ser>
          <c:idx val="3"/>
          <c:order val="3"/>
          <c:invertIfNegative val="0"/>
          <c:cat>
            <c:strRef>
              <c:f>' 2022 '!$B$13:$C$13</c:f>
              <c:strCache>
                <c:ptCount val="2"/>
                <c:pt idx="0">
                  <c:v>1 кв 2023 г, количество, уч.</c:v>
                </c:pt>
                <c:pt idx="1">
                  <c:v>1 кв 2022 г количество, уч.</c:v>
                </c:pt>
              </c:strCache>
            </c:strRef>
          </c:cat>
          <c:val>
            <c:numRef>
              <c:f>' 2022 '!$B$17:$C$17</c:f>
              <c:numCache>
                <c:formatCode>General</c:formatCode>
                <c:ptCount val="2"/>
                <c:pt idx="0">
                  <c:v>30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94-4226-B47A-4C92E11C9729}"/>
            </c:ext>
          </c:extLst>
        </c:ser>
        <c:ser>
          <c:idx val="4"/>
          <c:order val="4"/>
          <c:invertIfNegative val="0"/>
          <c:cat>
            <c:strRef>
              <c:f>' 2022 '!$B$13:$C$13</c:f>
              <c:strCache>
                <c:ptCount val="2"/>
                <c:pt idx="0">
                  <c:v>1 кв 2023 г, количество, уч.</c:v>
                </c:pt>
                <c:pt idx="1">
                  <c:v>1 кв 2022 г количество, уч.</c:v>
                </c:pt>
              </c:strCache>
            </c:strRef>
          </c:cat>
          <c:val>
            <c:numRef>
              <c:f>' 2022 '!$B$18:$C$18</c:f>
              <c:numCache>
                <c:formatCode>General</c:formatCode>
                <c:ptCount val="2"/>
                <c:pt idx="0">
                  <c:v>32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94-4226-B47A-4C92E11C9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16638080"/>
        <c:axId val="116639616"/>
        <c:axId val="0"/>
      </c:bar3DChart>
      <c:catAx>
        <c:axId val="11663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39616"/>
        <c:crosses val="autoZero"/>
        <c:auto val="1"/>
        <c:lblAlgn val="ctr"/>
        <c:lblOffset val="100"/>
        <c:noMultiLvlLbl val="0"/>
      </c:catAx>
      <c:valAx>
        <c:axId val="11663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38080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dnv_mb</dc:creator>
  <cp:lastModifiedBy>Василенко Анастасия Андреевна</cp:lastModifiedBy>
  <cp:revision>12</cp:revision>
  <cp:lastPrinted>2022-11-24T13:50:00Z</cp:lastPrinted>
  <dcterms:created xsi:type="dcterms:W3CDTF">2023-05-17T11:38:00Z</dcterms:created>
  <dcterms:modified xsi:type="dcterms:W3CDTF">2023-07-25T07:20:00Z</dcterms:modified>
</cp:coreProperties>
</file>