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8C" w:rsidRDefault="00E50B83" w:rsidP="000D1D8C">
      <w:pPr>
        <w:pStyle w:val="a3"/>
        <w:tabs>
          <w:tab w:val="left" w:pos="-4680"/>
        </w:tabs>
        <w:ind w:right="-1"/>
        <w:rPr>
          <w:noProof/>
          <w:szCs w:val="28"/>
        </w:rPr>
      </w:pPr>
      <w:r>
        <w:rPr>
          <w:noProof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83" w:rsidRDefault="00E50B83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0D1D8C" w:rsidRPr="00557BF2" w:rsidRDefault="000D1D8C" w:rsidP="000D1D8C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0D1D8C" w:rsidRDefault="000D1D8C" w:rsidP="000D1D8C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0D1D8C" w:rsidRDefault="000D1D8C" w:rsidP="000D1D8C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0D1D8C" w:rsidRDefault="000D1D8C" w:rsidP="000D1D8C">
      <w:pPr>
        <w:jc w:val="center"/>
        <w:rPr>
          <w:b/>
          <w:sz w:val="28"/>
          <w:szCs w:val="28"/>
        </w:rPr>
      </w:pPr>
    </w:p>
    <w:p w:rsidR="000D1D8C" w:rsidRDefault="000D1D8C" w:rsidP="000D1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1D8C" w:rsidRDefault="000D1D8C" w:rsidP="000D1D8C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                            №   </w:t>
      </w:r>
      <w:r w:rsidR="00E50B83">
        <w:rPr>
          <w:b/>
          <w:sz w:val="28"/>
          <w:szCs w:val="28"/>
        </w:rPr>
        <w:t>41</w:t>
      </w:r>
    </w:p>
    <w:p w:rsidR="002C4C8B" w:rsidRDefault="002C4C8B" w:rsidP="002C4C8B">
      <w:pPr>
        <w:jc w:val="center"/>
        <w:rPr>
          <w:b/>
          <w:sz w:val="28"/>
          <w:szCs w:val="28"/>
        </w:rPr>
      </w:pPr>
    </w:p>
    <w:p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4C8B" w:rsidRPr="005C589B" w:rsidRDefault="002C4C8B" w:rsidP="000D1D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201</w:t>
            </w:r>
            <w:r w:rsidR="000D1D8C">
              <w:rPr>
                <w:sz w:val="24"/>
                <w:szCs w:val="24"/>
              </w:rPr>
              <w:t>9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201</w:t>
      </w:r>
      <w:r w:rsidR="000D1D8C">
        <w:rPr>
          <w:color w:val="000000"/>
          <w:szCs w:val="28"/>
        </w:rPr>
        <w:t>9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</w:t>
      </w:r>
      <w:r w:rsidR="005E3BC8" w:rsidRPr="000F5A8C">
        <w:rPr>
          <w:color w:val="000000"/>
          <w:szCs w:val="28"/>
        </w:rPr>
        <w:t>Положения о контрольно-счетной палате Гатчинского муниципального района</w:t>
      </w:r>
      <w:r w:rsidR="005E3BC8">
        <w:rPr>
          <w:color w:val="000000"/>
          <w:szCs w:val="28"/>
        </w:rPr>
        <w:t>, утвержденного</w:t>
      </w:r>
      <w:r w:rsidR="005E3BC8" w:rsidRPr="000F5A8C">
        <w:rPr>
          <w:color w:val="000000"/>
          <w:szCs w:val="28"/>
        </w:rPr>
        <w:t xml:space="preserve"> </w:t>
      </w:r>
      <w:r w:rsidRPr="000F5A8C">
        <w:rPr>
          <w:color w:val="000000"/>
          <w:szCs w:val="28"/>
        </w:rPr>
        <w:t>решени</w:t>
      </w:r>
      <w:r w:rsidR="005E3BC8">
        <w:rPr>
          <w:color w:val="000000"/>
          <w:szCs w:val="28"/>
        </w:rPr>
        <w:t>ем</w:t>
      </w:r>
      <w:r w:rsidRPr="000F5A8C">
        <w:rPr>
          <w:color w:val="000000"/>
          <w:szCs w:val="28"/>
        </w:rPr>
        <w:t xml:space="preserve">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201</w:t>
      </w:r>
      <w:r w:rsidR="000D1D8C">
        <w:t>9</w:t>
      </w:r>
      <w:r w:rsidRPr="00D84532">
        <w:t xml:space="preserve"> году</w:t>
      </w:r>
      <w:r>
        <w:t xml:space="preserve"> (прилагается).</w:t>
      </w: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0D1D8C">
        <w:t xml:space="preserve">                      </w:t>
      </w:r>
      <w:proofErr w:type="spellStart"/>
      <w:r w:rsidR="000D1D8C">
        <w:t>В.А.Филоненко</w:t>
      </w:r>
      <w:proofErr w:type="spellEnd"/>
    </w:p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7A4A3F">
      <w:pPr>
        <w:pStyle w:val="a3"/>
        <w:ind w:left="-142" w:right="-93"/>
        <w:jc w:val="right"/>
      </w:pPr>
      <w:r>
        <w:t>ПРИЛОЖЕНИЕ</w:t>
      </w:r>
    </w:p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онтрольно-счетной палаты Гатчинского муниципального района 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работе</w:t>
      </w:r>
      <w:proofErr w:type="gramEnd"/>
      <w:r>
        <w:rPr>
          <w:b/>
          <w:sz w:val="28"/>
          <w:szCs w:val="28"/>
        </w:rPr>
        <w:t xml:space="preserve">  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онтрольно-счетной палатой Гатчинского муниципального района контрольных и экспертно-аналитических мероприятий 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7A4A3F">
      <w:pPr>
        <w:jc w:val="center"/>
        <w:rPr>
          <w:i/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отчетный период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 палата Гатчинского муниципального района в своей деятельности руководствовалась Бюджетным кодексом Российской Федерации, федеральными законами «Об общих принципах организации местного самоуправления в Российской Федерации» и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«Гатчинский муниципальный район» Ленинградской области, Положением о Контрольно-счетной палате Гатчинского муниципального района и другими федеральными, региональными и муниципальными нормативными правовыми актами, определяющими функции органа внешнего муниципального финансового контроля.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Деятельность Контрольно-счетной палаты  основывалась на «Плане проведения Контрольно-счетной палатой Гатчинского муниципального района контрольных и аналитических мероприятий на 2019 год»  и на основании действующих Соглашений с поселениями района о передаче ими полномочий по внешнему муниципальному финансовому контролю Контрольно-счетной палате района  в объеме, определенном п.2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работы КСП ГМР на 2019 год в целом выполнен.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рамках контрольной деятельности проведено 56 контрольных мероприятий по вопросам законности, результативности использования средств местных бюджетов, соблюдения установленного порядка управления и распоряжения имуществом, находящимся в муниципальной собственности, внешней проверке годовой бюджетной отчетности главных администраторов бюджетных средств, по выполнению условий, целей и порядка предоставления субсидий и их целевого использования.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экспертно-аналитической деятельности проведено 7 экспертно-аналитических мероприятий, 238 экспертиз проектов нормативных правовых актов.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результатам контрольных и экспертно-аналитических мероприятий направлено 15 предложений которые учтены органами местного самоуправления и объектами контроля при принятии решений. 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Контрольная деятельность.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контрольной работы проведено 32 камеральных проверки по вопросам достоверности, полноты и соответствия нормативным требованиям годовой бюджетной отчетности главных администраторов бюджетных средств, 24 выездные проверки в учреждениях и предприятиях района в ходе которых проверялись состояние финансово-хозяйственной деятельности,  законность использования бюджетных средств их получателями, законность и эффективность использования имущества, находящегося в муниципальной собственности законность, целевое и эффективное расходование муниципальным образованием первого уровня средств, поступивших из бюджета района.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Проверено 20 органов местного самоуправления, 17 муниципальных казенных учреждений, 9 муниципальных бюджетных учреждений, 2 муниципальных унитарных предприятия, 3 общественные организации, 2 автономно-некоммерческие организации, 1 </w:t>
      </w:r>
      <w:proofErr w:type="gramStart"/>
      <w:r>
        <w:rPr>
          <w:sz w:val="28"/>
          <w:szCs w:val="28"/>
        </w:rPr>
        <w:t>благотворительный  фонд</w:t>
      </w:r>
      <w:proofErr w:type="gramEnd"/>
      <w:r>
        <w:rPr>
          <w:sz w:val="28"/>
          <w:szCs w:val="28"/>
        </w:rPr>
        <w:t>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</w:t>
      </w:r>
      <w:proofErr w:type="gramStart"/>
      <w:r>
        <w:rPr>
          <w:sz w:val="28"/>
          <w:szCs w:val="28"/>
        </w:rPr>
        <w:t>проверенных  средств</w:t>
      </w:r>
      <w:proofErr w:type="gramEnd"/>
      <w:r>
        <w:rPr>
          <w:sz w:val="28"/>
          <w:szCs w:val="28"/>
        </w:rPr>
        <w:t xml:space="preserve"> составил сумму более 7 млрд. руб. основная часть которых пришлась на камеральные проверки годовых отчетов и бюджетной отчетности.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Выявлено  нарушений</w:t>
      </w:r>
      <w:proofErr w:type="gramEnd"/>
      <w:r>
        <w:rPr>
          <w:sz w:val="28"/>
          <w:szCs w:val="28"/>
        </w:rPr>
        <w:t xml:space="preserve"> входе осуществления внешнего муниципального финансового контроля  бюджетного законодательства и бухгалтерского учета  на сумму 196,6 млн. руб., в том числе: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-нарушений при формировании и исполнении бюджетов на сумму 62,2 млн. руб.,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-нарушений ведения бухгалтерского учета, составления и предоставления бухгалтерской (финансовой) отчетности на сумму 89,2 млн. руб.,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-нарушений в сфере управления и распоряжения муниципальной собственностью на сумму 39,4 млн. руб.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Устранено учреждениями, предприятиями и организациями ранее выявленных палатой нарушений на сумму 139,5 млн. руб.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 возврат средств в местный бюджет в сумме 0,2 млн. руб.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всех проверок палатой сделаны письменные предложения в адрес всех руководителей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подвергшихся контролю об устранении выявленных проверками нарушений и недостатков.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2 проверок в адрес объектов проверок внесены представления об устранении </w:t>
      </w:r>
      <w:proofErr w:type="gramStart"/>
      <w:r>
        <w:rPr>
          <w:sz w:val="28"/>
          <w:szCs w:val="28"/>
        </w:rPr>
        <w:t>выявленных  нарушений</w:t>
      </w:r>
      <w:proofErr w:type="gramEnd"/>
      <w:r>
        <w:rPr>
          <w:sz w:val="28"/>
          <w:szCs w:val="28"/>
        </w:rPr>
        <w:t>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3 проверок внесены предписания.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представленной в палату информации, указанные в актах, представлениях и предписаниях    нарушения и недостатки устранены или приняты меры по их исключению в дальнейшей работе.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результатам контрольных мероприятий 7 сотрудников привлечены к дисциплинарной ответственности, из них 5 занимающих муниципальные должности.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Материалы проверок   направлялись в Гатчинскую городскую прокуратуру и правоохранительные органы. Возбуждено 1 дело об административном правонарушении, должностное лицо привлечено к административной ответственности. 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Экспертно-аналитическая деятельность.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2019 году в рамках экспертно-аналитической деятельности проведено 7 экспертно-аналитических мероприятий, в том числе 5 экспертно-аналитических мероприятий были направлены на обследование достоверности, полноты и соответствия нормативным требованиям составления и предоставления квартального отчета об исполнении бюджета в контрольно-счетную палату казенными учреждениями в соответствие с требованиями Бюджетного кодекса Российской Федерации. </w:t>
      </w:r>
      <w:r>
        <w:rPr>
          <w:sz w:val="28"/>
          <w:szCs w:val="28"/>
        </w:rPr>
        <w:tab/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анализа и мониторинга бюджетного процесса в поселениях проведены 2 экспертизы положений о бюджетном процессе в отдельных поселениях, в которые направлены предложения о приведении бюджетного процесса в соответствие действующему законодательству. 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проведено 238 экспертиз проектов муниципальных правовых актов.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18 экспертиз проектов решений представительных органов об исполнении бюджетов района, городских и сельских поселений на 2018 год, 18 экспертиз проектов решений представительных органов о бюджете на 2020 год и плановый период, по результатам которых выдано </w:t>
      </w:r>
      <w:proofErr w:type="gramStart"/>
      <w:r>
        <w:rPr>
          <w:sz w:val="28"/>
          <w:szCs w:val="28"/>
        </w:rPr>
        <w:t>36  экспертных</w:t>
      </w:r>
      <w:proofErr w:type="gramEnd"/>
      <w:r>
        <w:rPr>
          <w:sz w:val="28"/>
          <w:szCs w:val="28"/>
        </w:rPr>
        <w:t xml:space="preserve"> заключений.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экспертиза и выдано 20 экспертных заключений на проекты муниципальных программ.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иной деятельности Контрольно-счетной палатой Гатчинского муниципального района 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>
        <w:rPr>
          <w:sz w:val="28"/>
          <w:szCs w:val="28"/>
          <w:lang w:val="en-US"/>
        </w:rPr>
        <w:t>I</w:t>
      </w:r>
      <w:r w:rsidRPr="007A4A3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2019 года в Советы депутатов поселений направлены отчеты о проделанной работе на основании заключенных Соглашений о передаче Контрольно-счетному органу муниципального района полномочий контрольно-счетного органа поселений по осуществлению внешнего муниципального финансового контроля.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в течение прошлого года в органы местного самоуправления и объектам </w:t>
      </w:r>
      <w:proofErr w:type="gramStart"/>
      <w:r>
        <w:rPr>
          <w:sz w:val="28"/>
          <w:szCs w:val="28"/>
        </w:rPr>
        <w:t>контроля  направлено</w:t>
      </w:r>
      <w:proofErr w:type="gramEnd"/>
      <w:r>
        <w:rPr>
          <w:sz w:val="28"/>
          <w:szCs w:val="28"/>
        </w:rPr>
        <w:t xml:space="preserve"> 141 информационное письмо, в том числе по результатам контрольных мероприятий- 56, экспертно-аналитических-7, экспертизы проектов бюджетов-18, экспертизы годовых отчетов-18.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2019 году продолжалась работа по повышению профессиональной подготовки и повышению квалификации сотрудников КСП, в ходе которой три сотрудника прошли профессиональную переподготовку.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работы областного Совета органов финансового контроля КСП   участвовала в двух заседаниях Совета органов внешнего финансового </w:t>
      </w:r>
      <w:proofErr w:type="gramStart"/>
      <w:r>
        <w:rPr>
          <w:sz w:val="28"/>
          <w:szCs w:val="28"/>
        </w:rPr>
        <w:t>контроля  Ленинградской</w:t>
      </w:r>
      <w:proofErr w:type="gramEnd"/>
      <w:r>
        <w:rPr>
          <w:sz w:val="28"/>
          <w:szCs w:val="28"/>
        </w:rPr>
        <w:t xml:space="preserve"> области.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обеспечено участие в пределах полномочий в мероприятиях, направленных на противодействие коррупции. </w:t>
      </w:r>
    </w:p>
    <w:p w:rsidR="007A4A3F" w:rsidRDefault="007A4A3F" w:rsidP="007A4A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В течение года проводилась  консультационная работа сотрудниками палаты   по обращениям  сотрудников  органов муниципальной власти и муниципальных учреждений района и поселений.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на отдельных заседаниях Совета Глав администраций поселений по инициативе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счетной палаты выносились   вопросы, относящиеся к компетенции палаты.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A3F" w:rsidRDefault="007A4A3F" w:rsidP="007A4A3F">
      <w:pPr>
        <w:ind w:left="-360" w:right="-185"/>
        <w:jc w:val="center"/>
        <w:rPr>
          <w:sz w:val="28"/>
          <w:szCs w:val="28"/>
        </w:rPr>
      </w:pPr>
    </w:p>
    <w:p w:rsidR="007A4A3F" w:rsidRDefault="007A4A3F" w:rsidP="00182456">
      <w:pPr>
        <w:pStyle w:val="a3"/>
        <w:ind w:left="-142" w:right="-93"/>
        <w:jc w:val="both"/>
      </w:pPr>
    </w:p>
    <w:sectPr w:rsidR="007A4A3F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E3BC8"/>
    <w:rsid w:val="0060508C"/>
    <w:rsid w:val="006B37AD"/>
    <w:rsid w:val="006F2C60"/>
    <w:rsid w:val="007A4A3F"/>
    <w:rsid w:val="00803958"/>
    <w:rsid w:val="00810B6E"/>
    <w:rsid w:val="00992C46"/>
    <w:rsid w:val="00A2248B"/>
    <w:rsid w:val="00A95EAA"/>
    <w:rsid w:val="00DD29E9"/>
    <w:rsid w:val="00DD60D4"/>
    <w:rsid w:val="00E50B8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7</cp:revision>
  <cp:lastPrinted>2020-02-12T14:54:00Z</cp:lastPrinted>
  <dcterms:created xsi:type="dcterms:W3CDTF">2018-02-16T10:22:00Z</dcterms:created>
  <dcterms:modified xsi:type="dcterms:W3CDTF">2020-03-02T06:31:00Z</dcterms:modified>
</cp:coreProperties>
</file>