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6B" w:rsidRPr="007032A4" w:rsidRDefault="00854AC7" w:rsidP="00C134EB">
      <w:pPr>
        <w:pStyle w:val="1"/>
        <w:numPr>
          <w:ilvl w:val="0"/>
          <w:numId w:val="0"/>
        </w:numPr>
        <w:suppressAutoHyphens/>
        <w:spacing w:before="0" w:after="0"/>
        <w:ind w:left="432" w:hanging="432"/>
      </w:pPr>
      <w:bookmarkStart w:id="0" w:name="_Toc437600956"/>
      <w:r w:rsidRPr="007032A4">
        <w:t>введение</w:t>
      </w:r>
      <w:bookmarkEnd w:id="0"/>
    </w:p>
    <w:p w:rsidR="00352820" w:rsidRPr="007032A4" w:rsidRDefault="00352820" w:rsidP="00C134EB">
      <w:pPr>
        <w:ind w:firstLine="397"/>
        <w:jc w:val="both"/>
      </w:pPr>
      <w:bookmarkStart w:id="1" w:name="_Toc280265588"/>
      <w:bookmarkStart w:id="2" w:name="_Toc300594927"/>
      <w:r w:rsidRPr="007032A4">
        <w:t>Проект Стратегии социально-экономического развития Гатчинского муниципального района на период 2009 – 2020 гг. с продлением срока действия документа на период до 2030 года выполнен Научно-проектным институтом пространственного планирования «ЭНКО» на основании Муниципального контракта № 114/15 от 07 августа 2015 года по заказу Администрации Гатчинского муниципального района</w:t>
      </w:r>
      <w:r w:rsidR="00EF12A4" w:rsidRPr="007032A4">
        <w:t xml:space="preserve"> при непосредственном участии специалистов Комитета экономики и инвестиций Гатчинского муниципального района – председателя комитета Норкина В.А. и главного специалиста Миронкова М.А.</w:t>
      </w:r>
    </w:p>
    <w:p w:rsidR="00352820" w:rsidRPr="007032A4" w:rsidRDefault="00352820" w:rsidP="00C134EB">
      <w:pPr>
        <w:ind w:firstLine="397"/>
        <w:jc w:val="both"/>
      </w:pPr>
      <w:r w:rsidRPr="007032A4">
        <w:t>Проект Стратегии социально-экономического развития Гатчинского муниципального района разработан на основе Концепции социально-экономического развития Гатчинского муниципального района до 2020 года, утвержденной Решением Совета депутатов Гатчинского муниципального района Ленинградской области от 27 февраля 2009 г. № 4 (далее – «Концепция-2020») и включает основные направления стратегического развития по вопросам местного значения Гатчинского муниципального района и МО «Город Гатчина».</w:t>
      </w:r>
    </w:p>
    <w:p w:rsidR="00352820" w:rsidRPr="007032A4" w:rsidRDefault="00352820" w:rsidP="00C134EB">
      <w:pPr>
        <w:ind w:firstLine="397"/>
        <w:jc w:val="both"/>
      </w:pPr>
      <w:r w:rsidRPr="007032A4">
        <w:t>Проект подготовлен с учетом «Методических рекомендаций 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Ленинградской области от 10.06.2015 № 60.</w:t>
      </w:r>
    </w:p>
    <w:p w:rsidR="00352820" w:rsidRPr="007032A4" w:rsidRDefault="00352820" w:rsidP="00C134EB">
      <w:pPr>
        <w:ind w:firstLine="397"/>
        <w:jc w:val="both"/>
      </w:pPr>
    </w:p>
    <w:p w:rsidR="00352820" w:rsidRPr="007032A4" w:rsidRDefault="00352820" w:rsidP="00C134EB">
      <w:pPr>
        <w:ind w:firstLine="397"/>
        <w:jc w:val="both"/>
      </w:pPr>
      <w:r w:rsidRPr="007032A4">
        <w:t>Необходимость подготовки документа стратегического планирования муниципального образования на долгосрочный период обусловлена требованием действующего законодательства. Современные подходы и основы стратегического планирования заложены Федеральным законом от 28 июня 2014 № 172-ФЗ «О стратегическом планировании в Российской Федерации», а также необходимостью промежуточного анализа реализации и актуализации действующей Концепции. Кроме того, отдельные Целевые ориентиры и контрольные показатели Концепции (Приложение 1), заложенные на перспективу – в настоящее время уже достигнуты, что свидетельствует об опережающем росте экономики и социальной сферы муниципального района по отдельным направлениям. В частности, данные о соответствии основных целевых ориентиров выборочно приведены в таблице 1.</w:t>
      </w:r>
    </w:p>
    <w:p w:rsidR="00352820" w:rsidRPr="007032A4" w:rsidRDefault="00352820" w:rsidP="00C134EB">
      <w:pPr>
        <w:ind w:firstLine="397"/>
        <w:jc w:val="right"/>
      </w:pPr>
      <w:r w:rsidRPr="007032A4">
        <w:t>Таблица 1.</w:t>
      </w:r>
    </w:p>
    <w:tbl>
      <w:tblPr>
        <w:tblStyle w:val="afe"/>
        <w:tblW w:w="0" w:type="auto"/>
        <w:tblLook w:val="04A0"/>
      </w:tblPr>
      <w:tblGrid>
        <w:gridCol w:w="534"/>
        <w:gridCol w:w="6237"/>
        <w:gridCol w:w="1417"/>
        <w:gridCol w:w="1666"/>
      </w:tblGrid>
      <w:tr w:rsidR="00352820" w:rsidRPr="007032A4" w:rsidTr="00D47517">
        <w:trPr>
          <w:cnfStyle w:val="100000000000"/>
        </w:trPr>
        <w:tc>
          <w:tcPr>
            <w:tcW w:w="534" w:type="dxa"/>
            <w:vAlign w:val="center"/>
          </w:tcPr>
          <w:p w:rsidR="00352820" w:rsidRPr="007032A4" w:rsidRDefault="00352820" w:rsidP="00C134EB">
            <w:pPr>
              <w:jc w:val="center"/>
              <w:rPr>
                <w:sz w:val="22"/>
                <w:szCs w:val="22"/>
              </w:rPr>
            </w:pPr>
            <w:r w:rsidRPr="007032A4">
              <w:rPr>
                <w:sz w:val="22"/>
                <w:szCs w:val="22"/>
              </w:rPr>
              <w:t>№</w:t>
            </w:r>
          </w:p>
        </w:tc>
        <w:tc>
          <w:tcPr>
            <w:tcW w:w="6237" w:type="dxa"/>
            <w:vAlign w:val="center"/>
          </w:tcPr>
          <w:p w:rsidR="00352820" w:rsidRPr="007032A4" w:rsidRDefault="00352820" w:rsidP="00C134EB">
            <w:pPr>
              <w:jc w:val="center"/>
              <w:cnfStyle w:val="000000000000"/>
              <w:rPr>
                <w:sz w:val="22"/>
                <w:szCs w:val="22"/>
              </w:rPr>
            </w:pPr>
            <w:r w:rsidRPr="007032A4">
              <w:rPr>
                <w:sz w:val="22"/>
                <w:szCs w:val="22"/>
              </w:rPr>
              <w:t>Целевой показатель</w:t>
            </w:r>
          </w:p>
        </w:tc>
        <w:tc>
          <w:tcPr>
            <w:tcW w:w="1417" w:type="dxa"/>
            <w:vAlign w:val="center"/>
          </w:tcPr>
          <w:p w:rsidR="00352820" w:rsidRPr="007032A4" w:rsidRDefault="00352820" w:rsidP="00C134EB">
            <w:pPr>
              <w:jc w:val="center"/>
              <w:cnfStyle w:val="000000000000"/>
              <w:rPr>
                <w:sz w:val="22"/>
                <w:szCs w:val="22"/>
              </w:rPr>
            </w:pPr>
            <w:r w:rsidRPr="007032A4">
              <w:rPr>
                <w:sz w:val="22"/>
                <w:szCs w:val="22"/>
              </w:rPr>
              <w:t>Целевое значение на 2016 год</w:t>
            </w:r>
            <w:r w:rsidRPr="007032A4">
              <w:rPr>
                <w:rStyle w:val="afff0"/>
              </w:rPr>
              <w:footnoteReference w:id="2"/>
            </w:r>
          </w:p>
        </w:tc>
        <w:tc>
          <w:tcPr>
            <w:tcW w:w="1666" w:type="dxa"/>
            <w:vAlign w:val="center"/>
          </w:tcPr>
          <w:p w:rsidR="00352820" w:rsidRPr="007032A4" w:rsidRDefault="00352820" w:rsidP="00C134EB">
            <w:pPr>
              <w:jc w:val="center"/>
              <w:cnfStyle w:val="000000000000"/>
              <w:rPr>
                <w:sz w:val="22"/>
                <w:szCs w:val="22"/>
              </w:rPr>
            </w:pPr>
            <w:r w:rsidRPr="007032A4">
              <w:rPr>
                <w:sz w:val="22"/>
                <w:szCs w:val="22"/>
              </w:rPr>
              <w:t>Фактически достигнутый уровень на 01.01.2015</w:t>
            </w:r>
            <w:r w:rsidRPr="007032A4">
              <w:rPr>
                <w:rStyle w:val="afff0"/>
              </w:rPr>
              <w:footnoteReference w:id="3"/>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w:t>
            </w:r>
          </w:p>
        </w:tc>
        <w:tc>
          <w:tcPr>
            <w:tcW w:w="6237" w:type="dxa"/>
          </w:tcPr>
          <w:p w:rsidR="00352820" w:rsidRPr="007032A4" w:rsidRDefault="00352820" w:rsidP="00C134EB">
            <w:pPr>
              <w:jc w:val="both"/>
              <w:rPr>
                <w:sz w:val="22"/>
                <w:szCs w:val="22"/>
              </w:rPr>
            </w:pPr>
            <w:r w:rsidRPr="007032A4">
              <w:rPr>
                <w:sz w:val="22"/>
                <w:szCs w:val="22"/>
              </w:rPr>
              <w:t>Численность постоянного населения среднегодовая, всего тыс.чел.</w:t>
            </w:r>
          </w:p>
          <w:p w:rsidR="00352820" w:rsidRPr="007032A4" w:rsidRDefault="00352820" w:rsidP="00C134EB">
            <w:pPr>
              <w:jc w:val="both"/>
              <w:rPr>
                <w:sz w:val="22"/>
                <w:szCs w:val="22"/>
              </w:rPr>
            </w:pPr>
            <w:r w:rsidRPr="007032A4">
              <w:rPr>
                <w:sz w:val="22"/>
                <w:szCs w:val="22"/>
              </w:rPr>
              <w:t>в том числе:</w:t>
            </w:r>
          </w:p>
        </w:tc>
        <w:tc>
          <w:tcPr>
            <w:tcW w:w="1417" w:type="dxa"/>
            <w:vAlign w:val="center"/>
          </w:tcPr>
          <w:p w:rsidR="00352820" w:rsidRPr="007032A4" w:rsidRDefault="00352820" w:rsidP="00C134EB">
            <w:pPr>
              <w:jc w:val="center"/>
              <w:rPr>
                <w:sz w:val="22"/>
                <w:szCs w:val="22"/>
              </w:rPr>
            </w:pPr>
            <w:r w:rsidRPr="007032A4">
              <w:rPr>
                <w:sz w:val="22"/>
                <w:szCs w:val="22"/>
              </w:rPr>
              <w:t>231,5</w:t>
            </w:r>
          </w:p>
        </w:tc>
        <w:tc>
          <w:tcPr>
            <w:tcW w:w="1666" w:type="dxa"/>
            <w:vAlign w:val="center"/>
          </w:tcPr>
          <w:p w:rsidR="00352820" w:rsidRPr="007032A4" w:rsidRDefault="00352820" w:rsidP="00C134EB">
            <w:pPr>
              <w:jc w:val="center"/>
              <w:rPr>
                <w:sz w:val="22"/>
                <w:szCs w:val="22"/>
              </w:rPr>
            </w:pPr>
            <w:r w:rsidRPr="007032A4">
              <w:rPr>
                <w:sz w:val="22"/>
                <w:szCs w:val="22"/>
              </w:rPr>
              <w:t>246,2</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1.1</w:t>
            </w:r>
          </w:p>
        </w:tc>
        <w:tc>
          <w:tcPr>
            <w:tcW w:w="6237" w:type="dxa"/>
          </w:tcPr>
          <w:p w:rsidR="00352820" w:rsidRPr="007032A4" w:rsidRDefault="00352820" w:rsidP="00C134EB">
            <w:pPr>
              <w:jc w:val="right"/>
              <w:rPr>
                <w:sz w:val="22"/>
                <w:szCs w:val="22"/>
              </w:rPr>
            </w:pPr>
            <w:r w:rsidRPr="007032A4">
              <w:rPr>
                <w:sz w:val="22"/>
                <w:szCs w:val="22"/>
              </w:rPr>
              <w:t>численность городского населения</w:t>
            </w:r>
          </w:p>
        </w:tc>
        <w:tc>
          <w:tcPr>
            <w:tcW w:w="1417" w:type="dxa"/>
            <w:vAlign w:val="center"/>
          </w:tcPr>
          <w:p w:rsidR="00352820" w:rsidRPr="007032A4" w:rsidRDefault="00352820" w:rsidP="00C134EB">
            <w:pPr>
              <w:jc w:val="center"/>
              <w:rPr>
                <w:sz w:val="22"/>
                <w:szCs w:val="22"/>
              </w:rPr>
            </w:pPr>
            <w:r w:rsidRPr="007032A4">
              <w:rPr>
                <w:sz w:val="22"/>
                <w:szCs w:val="22"/>
              </w:rPr>
              <w:t>142,1</w:t>
            </w:r>
          </w:p>
        </w:tc>
        <w:tc>
          <w:tcPr>
            <w:tcW w:w="1666" w:type="dxa"/>
            <w:vAlign w:val="center"/>
          </w:tcPr>
          <w:p w:rsidR="00352820" w:rsidRPr="007032A4" w:rsidRDefault="00352820" w:rsidP="00C134EB">
            <w:pPr>
              <w:jc w:val="center"/>
              <w:rPr>
                <w:sz w:val="22"/>
                <w:szCs w:val="22"/>
              </w:rPr>
            </w:pPr>
            <w:r w:rsidRPr="007032A4">
              <w:rPr>
                <w:sz w:val="22"/>
                <w:szCs w:val="22"/>
              </w:rPr>
              <w:t>149,9</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1.2</w:t>
            </w:r>
          </w:p>
        </w:tc>
        <w:tc>
          <w:tcPr>
            <w:tcW w:w="6237" w:type="dxa"/>
          </w:tcPr>
          <w:p w:rsidR="00352820" w:rsidRPr="007032A4" w:rsidRDefault="00352820" w:rsidP="00C134EB">
            <w:pPr>
              <w:jc w:val="right"/>
              <w:rPr>
                <w:sz w:val="22"/>
                <w:szCs w:val="22"/>
              </w:rPr>
            </w:pPr>
            <w:r w:rsidRPr="007032A4">
              <w:rPr>
                <w:sz w:val="22"/>
                <w:szCs w:val="22"/>
              </w:rPr>
              <w:t>численность сельского населения</w:t>
            </w:r>
          </w:p>
        </w:tc>
        <w:tc>
          <w:tcPr>
            <w:tcW w:w="1417" w:type="dxa"/>
            <w:vAlign w:val="center"/>
          </w:tcPr>
          <w:p w:rsidR="00352820" w:rsidRPr="007032A4" w:rsidRDefault="00352820" w:rsidP="00C134EB">
            <w:pPr>
              <w:jc w:val="center"/>
              <w:rPr>
                <w:sz w:val="22"/>
                <w:szCs w:val="22"/>
              </w:rPr>
            </w:pPr>
            <w:r w:rsidRPr="007032A4">
              <w:rPr>
                <w:sz w:val="22"/>
                <w:szCs w:val="22"/>
              </w:rPr>
              <w:t>89,4</w:t>
            </w:r>
          </w:p>
        </w:tc>
        <w:tc>
          <w:tcPr>
            <w:tcW w:w="1666" w:type="dxa"/>
            <w:vAlign w:val="center"/>
          </w:tcPr>
          <w:p w:rsidR="00352820" w:rsidRPr="007032A4" w:rsidRDefault="00352820" w:rsidP="00C134EB">
            <w:pPr>
              <w:jc w:val="center"/>
              <w:rPr>
                <w:sz w:val="22"/>
                <w:szCs w:val="22"/>
              </w:rPr>
            </w:pPr>
            <w:r w:rsidRPr="007032A4">
              <w:rPr>
                <w:sz w:val="22"/>
                <w:szCs w:val="22"/>
              </w:rPr>
              <w:t>96,3</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2</w:t>
            </w:r>
          </w:p>
        </w:tc>
        <w:tc>
          <w:tcPr>
            <w:tcW w:w="6237" w:type="dxa"/>
          </w:tcPr>
          <w:p w:rsidR="00352820" w:rsidRPr="007032A4" w:rsidRDefault="00352820" w:rsidP="00C134EB">
            <w:pPr>
              <w:jc w:val="both"/>
              <w:rPr>
                <w:sz w:val="22"/>
                <w:szCs w:val="22"/>
              </w:rPr>
            </w:pPr>
            <w:r w:rsidRPr="007032A4">
              <w:rPr>
                <w:sz w:val="22"/>
                <w:szCs w:val="22"/>
              </w:rPr>
              <w:t>Численность экономически активного населения в среднегодовом исчислении, тыс.чел.</w:t>
            </w:r>
          </w:p>
        </w:tc>
        <w:tc>
          <w:tcPr>
            <w:tcW w:w="1417" w:type="dxa"/>
            <w:vAlign w:val="center"/>
          </w:tcPr>
          <w:p w:rsidR="00352820" w:rsidRPr="007032A4" w:rsidRDefault="00352820" w:rsidP="00C134EB">
            <w:pPr>
              <w:jc w:val="center"/>
              <w:rPr>
                <w:sz w:val="22"/>
                <w:szCs w:val="22"/>
              </w:rPr>
            </w:pPr>
            <w:r w:rsidRPr="007032A4">
              <w:rPr>
                <w:sz w:val="22"/>
                <w:szCs w:val="22"/>
              </w:rPr>
              <w:t>116,5</w:t>
            </w:r>
          </w:p>
        </w:tc>
        <w:tc>
          <w:tcPr>
            <w:tcW w:w="1666" w:type="dxa"/>
            <w:vAlign w:val="center"/>
          </w:tcPr>
          <w:p w:rsidR="00352820" w:rsidRPr="007032A4" w:rsidRDefault="00352820" w:rsidP="00C134EB">
            <w:pPr>
              <w:jc w:val="center"/>
              <w:rPr>
                <w:sz w:val="22"/>
                <w:szCs w:val="22"/>
              </w:rPr>
            </w:pPr>
            <w:r w:rsidRPr="007032A4">
              <w:rPr>
                <w:sz w:val="22"/>
                <w:szCs w:val="22"/>
              </w:rPr>
              <w:t>145,6</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3</w:t>
            </w:r>
          </w:p>
        </w:tc>
        <w:tc>
          <w:tcPr>
            <w:tcW w:w="6237" w:type="dxa"/>
          </w:tcPr>
          <w:p w:rsidR="00352820" w:rsidRPr="007032A4" w:rsidRDefault="00352820" w:rsidP="00C134EB">
            <w:pPr>
              <w:jc w:val="both"/>
              <w:rPr>
                <w:sz w:val="22"/>
                <w:szCs w:val="22"/>
              </w:rPr>
            </w:pPr>
            <w:r w:rsidRPr="007032A4">
              <w:rPr>
                <w:sz w:val="22"/>
                <w:szCs w:val="22"/>
              </w:rPr>
              <w:t xml:space="preserve">Естественный прирост (+), убыль (-), чел. на 1000 жителей </w:t>
            </w:r>
          </w:p>
        </w:tc>
        <w:tc>
          <w:tcPr>
            <w:tcW w:w="1417" w:type="dxa"/>
            <w:vAlign w:val="center"/>
          </w:tcPr>
          <w:p w:rsidR="00352820" w:rsidRPr="007032A4" w:rsidRDefault="00352820" w:rsidP="00C134EB">
            <w:pPr>
              <w:jc w:val="center"/>
              <w:rPr>
                <w:sz w:val="22"/>
                <w:szCs w:val="22"/>
              </w:rPr>
            </w:pPr>
            <w:r w:rsidRPr="007032A4">
              <w:rPr>
                <w:sz w:val="22"/>
                <w:szCs w:val="22"/>
              </w:rPr>
              <w:t>-6,5</w:t>
            </w:r>
          </w:p>
        </w:tc>
        <w:tc>
          <w:tcPr>
            <w:tcW w:w="1666" w:type="dxa"/>
            <w:vAlign w:val="center"/>
          </w:tcPr>
          <w:p w:rsidR="00352820" w:rsidRPr="007032A4" w:rsidRDefault="00352820" w:rsidP="00C134EB">
            <w:pPr>
              <w:jc w:val="center"/>
              <w:rPr>
                <w:sz w:val="22"/>
                <w:szCs w:val="22"/>
              </w:rPr>
            </w:pPr>
            <w:r w:rsidRPr="007032A4">
              <w:rPr>
                <w:sz w:val="22"/>
                <w:szCs w:val="22"/>
              </w:rPr>
              <w:t>-5,7</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4</w:t>
            </w:r>
          </w:p>
        </w:tc>
        <w:tc>
          <w:tcPr>
            <w:tcW w:w="6237" w:type="dxa"/>
          </w:tcPr>
          <w:p w:rsidR="00352820" w:rsidRPr="007032A4" w:rsidRDefault="00352820" w:rsidP="00C134EB">
            <w:pPr>
              <w:jc w:val="both"/>
              <w:rPr>
                <w:sz w:val="22"/>
                <w:szCs w:val="22"/>
              </w:rPr>
            </w:pPr>
            <w:r w:rsidRPr="007032A4">
              <w:rPr>
                <w:sz w:val="22"/>
                <w:szCs w:val="22"/>
              </w:rPr>
              <w:t xml:space="preserve">Миграционный прирост (+), убыль (-), чел. на 1000 жителей </w:t>
            </w:r>
          </w:p>
        </w:tc>
        <w:tc>
          <w:tcPr>
            <w:tcW w:w="1417" w:type="dxa"/>
            <w:vAlign w:val="center"/>
          </w:tcPr>
          <w:p w:rsidR="00352820" w:rsidRPr="007032A4" w:rsidRDefault="00352820" w:rsidP="00C134EB">
            <w:pPr>
              <w:jc w:val="center"/>
              <w:rPr>
                <w:sz w:val="22"/>
                <w:szCs w:val="22"/>
              </w:rPr>
            </w:pPr>
            <w:r w:rsidRPr="007032A4">
              <w:rPr>
                <w:sz w:val="22"/>
                <w:szCs w:val="22"/>
              </w:rPr>
              <w:t>10,8</w:t>
            </w:r>
          </w:p>
        </w:tc>
        <w:tc>
          <w:tcPr>
            <w:tcW w:w="1666" w:type="dxa"/>
            <w:vAlign w:val="center"/>
          </w:tcPr>
          <w:p w:rsidR="00352820" w:rsidRPr="007032A4" w:rsidRDefault="00352820" w:rsidP="00C134EB">
            <w:pPr>
              <w:jc w:val="center"/>
              <w:rPr>
                <w:sz w:val="22"/>
                <w:szCs w:val="22"/>
              </w:rPr>
            </w:pPr>
            <w:r w:rsidRPr="007032A4">
              <w:rPr>
                <w:sz w:val="22"/>
                <w:szCs w:val="22"/>
              </w:rPr>
              <w:t>13,1</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5</w:t>
            </w:r>
          </w:p>
        </w:tc>
        <w:tc>
          <w:tcPr>
            <w:tcW w:w="6237" w:type="dxa"/>
          </w:tcPr>
          <w:p w:rsidR="00352820" w:rsidRPr="007032A4" w:rsidRDefault="00352820" w:rsidP="00C134EB">
            <w:pPr>
              <w:jc w:val="both"/>
              <w:rPr>
                <w:sz w:val="22"/>
                <w:szCs w:val="22"/>
              </w:rPr>
            </w:pPr>
            <w:r w:rsidRPr="007032A4">
              <w:rPr>
                <w:sz w:val="22"/>
                <w:szCs w:val="22"/>
              </w:rPr>
              <w:t>Среднесписочная численность работников, занятых в экономике</w:t>
            </w:r>
            <w:r w:rsidR="00BE2C82">
              <w:rPr>
                <w:rStyle w:val="afff0"/>
              </w:rPr>
              <w:footnoteReference w:id="4"/>
            </w:r>
            <w:r w:rsidRPr="007032A4">
              <w:rPr>
                <w:sz w:val="22"/>
                <w:szCs w:val="22"/>
              </w:rPr>
              <w:t xml:space="preserve">, чел. всего </w:t>
            </w:r>
          </w:p>
        </w:tc>
        <w:tc>
          <w:tcPr>
            <w:tcW w:w="1417" w:type="dxa"/>
            <w:vAlign w:val="center"/>
          </w:tcPr>
          <w:p w:rsidR="00352820" w:rsidRPr="007032A4" w:rsidRDefault="00352820" w:rsidP="00C134EB">
            <w:pPr>
              <w:jc w:val="center"/>
              <w:rPr>
                <w:sz w:val="22"/>
                <w:szCs w:val="22"/>
              </w:rPr>
            </w:pPr>
            <w:r w:rsidRPr="007032A4">
              <w:rPr>
                <w:sz w:val="22"/>
                <w:szCs w:val="22"/>
              </w:rPr>
              <w:t>47400</w:t>
            </w:r>
          </w:p>
        </w:tc>
        <w:tc>
          <w:tcPr>
            <w:tcW w:w="1666" w:type="dxa"/>
            <w:vAlign w:val="center"/>
          </w:tcPr>
          <w:p w:rsidR="00352820" w:rsidRPr="007032A4" w:rsidRDefault="00352820" w:rsidP="00C134EB">
            <w:pPr>
              <w:jc w:val="center"/>
              <w:rPr>
                <w:sz w:val="22"/>
                <w:szCs w:val="22"/>
              </w:rPr>
            </w:pPr>
            <w:r w:rsidRPr="007032A4">
              <w:rPr>
                <w:sz w:val="22"/>
                <w:szCs w:val="22"/>
              </w:rPr>
              <w:t>85400</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6</w:t>
            </w:r>
          </w:p>
        </w:tc>
        <w:tc>
          <w:tcPr>
            <w:tcW w:w="6237" w:type="dxa"/>
          </w:tcPr>
          <w:p w:rsidR="00352820" w:rsidRPr="007032A4" w:rsidRDefault="00352820" w:rsidP="00C134EB">
            <w:pPr>
              <w:jc w:val="both"/>
              <w:rPr>
                <w:sz w:val="22"/>
                <w:szCs w:val="22"/>
              </w:rPr>
            </w:pPr>
            <w:r w:rsidRPr="007032A4">
              <w:rPr>
                <w:sz w:val="22"/>
                <w:szCs w:val="22"/>
              </w:rPr>
              <w:t>Среднемесячная заработная плата работников, занятых в экономике, руб. всего</w:t>
            </w:r>
          </w:p>
        </w:tc>
        <w:tc>
          <w:tcPr>
            <w:tcW w:w="1417" w:type="dxa"/>
            <w:vAlign w:val="center"/>
          </w:tcPr>
          <w:p w:rsidR="00352820" w:rsidRPr="007032A4" w:rsidRDefault="00352820" w:rsidP="00C134EB">
            <w:pPr>
              <w:jc w:val="center"/>
              <w:rPr>
                <w:sz w:val="22"/>
                <w:szCs w:val="22"/>
              </w:rPr>
            </w:pPr>
            <w:r w:rsidRPr="007032A4">
              <w:rPr>
                <w:sz w:val="22"/>
                <w:szCs w:val="22"/>
              </w:rPr>
              <w:t>49000</w:t>
            </w:r>
          </w:p>
        </w:tc>
        <w:tc>
          <w:tcPr>
            <w:tcW w:w="1666" w:type="dxa"/>
            <w:vAlign w:val="center"/>
          </w:tcPr>
          <w:p w:rsidR="00352820" w:rsidRPr="007032A4" w:rsidRDefault="00352820" w:rsidP="00C134EB">
            <w:pPr>
              <w:jc w:val="center"/>
              <w:rPr>
                <w:sz w:val="22"/>
                <w:szCs w:val="22"/>
              </w:rPr>
            </w:pPr>
            <w:r w:rsidRPr="007032A4">
              <w:rPr>
                <w:sz w:val="22"/>
                <w:szCs w:val="22"/>
              </w:rPr>
              <w:t>32674,7*</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7</w:t>
            </w:r>
          </w:p>
        </w:tc>
        <w:tc>
          <w:tcPr>
            <w:tcW w:w="6237" w:type="dxa"/>
          </w:tcPr>
          <w:p w:rsidR="00352820" w:rsidRPr="007032A4" w:rsidRDefault="00352820" w:rsidP="00C134EB">
            <w:pPr>
              <w:jc w:val="both"/>
              <w:rPr>
                <w:sz w:val="22"/>
                <w:szCs w:val="22"/>
              </w:rPr>
            </w:pPr>
            <w:r w:rsidRPr="007032A4">
              <w:rPr>
                <w:sz w:val="22"/>
                <w:szCs w:val="22"/>
              </w:rPr>
              <w:t>Общая площадь жилищного фонда на одного жителя, кв.м</w:t>
            </w:r>
          </w:p>
        </w:tc>
        <w:tc>
          <w:tcPr>
            <w:tcW w:w="1417" w:type="dxa"/>
            <w:vAlign w:val="center"/>
          </w:tcPr>
          <w:p w:rsidR="00352820" w:rsidRPr="007032A4" w:rsidRDefault="00352820" w:rsidP="00C134EB">
            <w:pPr>
              <w:jc w:val="center"/>
              <w:rPr>
                <w:sz w:val="22"/>
                <w:szCs w:val="22"/>
              </w:rPr>
            </w:pPr>
            <w:r w:rsidRPr="007032A4">
              <w:rPr>
                <w:sz w:val="22"/>
                <w:szCs w:val="22"/>
              </w:rPr>
              <w:t>28,9</w:t>
            </w:r>
          </w:p>
        </w:tc>
        <w:tc>
          <w:tcPr>
            <w:tcW w:w="1666" w:type="dxa"/>
            <w:vAlign w:val="center"/>
          </w:tcPr>
          <w:p w:rsidR="00352820" w:rsidRPr="007032A4" w:rsidRDefault="00352820" w:rsidP="00C134EB">
            <w:pPr>
              <w:jc w:val="center"/>
              <w:rPr>
                <w:sz w:val="22"/>
                <w:szCs w:val="22"/>
              </w:rPr>
            </w:pPr>
            <w:r w:rsidRPr="007032A4">
              <w:rPr>
                <w:sz w:val="22"/>
                <w:szCs w:val="22"/>
              </w:rPr>
              <w:t>25,48*</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8</w:t>
            </w:r>
          </w:p>
        </w:tc>
        <w:tc>
          <w:tcPr>
            <w:tcW w:w="6237" w:type="dxa"/>
          </w:tcPr>
          <w:p w:rsidR="00352820" w:rsidRPr="007032A4" w:rsidRDefault="00352820" w:rsidP="00C134EB">
            <w:pPr>
              <w:jc w:val="both"/>
              <w:rPr>
                <w:sz w:val="22"/>
                <w:szCs w:val="22"/>
              </w:rPr>
            </w:pPr>
            <w:r w:rsidRPr="007032A4">
              <w:rPr>
                <w:sz w:val="22"/>
                <w:szCs w:val="22"/>
              </w:rPr>
              <w:t xml:space="preserve">Объем отгруженных товаров собственного производства, </w:t>
            </w:r>
            <w:r w:rsidRPr="007032A4">
              <w:rPr>
                <w:sz w:val="22"/>
                <w:szCs w:val="22"/>
              </w:rPr>
              <w:lastRenderedPageBreak/>
              <w:t>выполненных работ, услуг, млн.руб. всего</w:t>
            </w:r>
          </w:p>
        </w:tc>
        <w:tc>
          <w:tcPr>
            <w:tcW w:w="1417" w:type="dxa"/>
            <w:vAlign w:val="center"/>
          </w:tcPr>
          <w:p w:rsidR="00352820" w:rsidRPr="007032A4" w:rsidRDefault="00352820" w:rsidP="00C134EB">
            <w:pPr>
              <w:jc w:val="center"/>
              <w:rPr>
                <w:sz w:val="22"/>
                <w:szCs w:val="22"/>
              </w:rPr>
            </w:pPr>
            <w:r w:rsidRPr="007032A4">
              <w:rPr>
                <w:sz w:val="22"/>
                <w:szCs w:val="22"/>
              </w:rPr>
              <w:lastRenderedPageBreak/>
              <w:t>74500</w:t>
            </w:r>
          </w:p>
        </w:tc>
        <w:tc>
          <w:tcPr>
            <w:tcW w:w="1666" w:type="dxa"/>
            <w:vAlign w:val="center"/>
          </w:tcPr>
          <w:p w:rsidR="00352820" w:rsidRPr="007032A4" w:rsidRDefault="00352820" w:rsidP="00C134EB">
            <w:pPr>
              <w:jc w:val="center"/>
              <w:rPr>
                <w:sz w:val="22"/>
                <w:szCs w:val="22"/>
              </w:rPr>
            </w:pPr>
            <w:r w:rsidRPr="007032A4">
              <w:rPr>
                <w:sz w:val="22"/>
                <w:szCs w:val="22"/>
              </w:rPr>
              <w:t>51858,81*</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lastRenderedPageBreak/>
              <w:t>9</w:t>
            </w:r>
          </w:p>
        </w:tc>
        <w:tc>
          <w:tcPr>
            <w:tcW w:w="6237" w:type="dxa"/>
          </w:tcPr>
          <w:p w:rsidR="00352820" w:rsidRPr="007032A4" w:rsidRDefault="00352820" w:rsidP="00C134EB">
            <w:pPr>
              <w:jc w:val="both"/>
              <w:rPr>
                <w:sz w:val="22"/>
                <w:szCs w:val="22"/>
              </w:rPr>
            </w:pPr>
            <w:r w:rsidRPr="007032A4">
              <w:rPr>
                <w:sz w:val="22"/>
                <w:szCs w:val="22"/>
              </w:rPr>
              <w:t>В том числе РАЗДЕЛ: Обрабатывающие производства, млн.руб. всего</w:t>
            </w:r>
          </w:p>
        </w:tc>
        <w:tc>
          <w:tcPr>
            <w:tcW w:w="1417" w:type="dxa"/>
            <w:vAlign w:val="center"/>
          </w:tcPr>
          <w:p w:rsidR="00352820" w:rsidRPr="007032A4" w:rsidRDefault="00352820" w:rsidP="00C134EB">
            <w:pPr>
              <w:jc w:val="center"/>
              <w:rPr>
                <w:sz w:val="22"/>
                <w:szCs w:val="22"/>
              </w:rPr>
            </w:pPr>
            <w:r w:rsidRPr="007032A4">
              <w:rPr>
                <w:sz w:val="22"/>
                <w:szCs w:val="22"/>
              </w:rPr>
              <w:t>50700</w:t>
            </w:r>
          </w:p>
        </w:tc>
        <w:tc>
          <w:tcPr>
            <w:tcW w:w="1666" w:type="dxa"/>
            <w:vAlign w:val="center"/>
          </w:tcPr>
          <w:p w:rsidR="00352820" w:rsidRPr="007032A4" w:rsidRDefault="00352820" w:rsidP="00C134EB">
            <w:pPr>
              <w:jc w:val="center"/>
              <w:rPr>
                <w:sz w:val="22"/>
                <w:szCs w:val="22"/>
              </w:rPr>
            </w:pPr>
            <w:r w:rsidRPr="007032A4">
              <w:rPr>
                <w:sz w:val="22"/>
                <w:szCs w:val="22"/>
              </w:rPr>
              <w:t>31128,44*</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10</w:t>
            </w:r>
          </w:p>
        </w:tc>
        <w:tc>
          <w:tcPr>
            <w:tcW w:w="6237" w:type="dxa"/>
          </w:tcPr>
          <w:p w:rsidR="00352820" w:rsidRPr="007032A4" w:rsidRDefault="00352820" w:rsidP="00C134EB">
            <w:pPr>
              <w:jc w:val="both"/>
              <w:rPr>
                <w:sz w:val="22"/>
                <w:szCs w:val="22"/>
              </w:rPr>
            </w:pPr>
            <w:r w:rsidRPr="007032A4">
              <w:rPr>
                <w:sz w:val="22"/>
                <w:szCs w:val="22"/>
              </w:rPr>
              <w:t>Оборот розничной торговли, млн. руб.</w:t>
            </w:r>
          </w:p>
        </w:tc>
        <w:tc>
          <w:tcPr>
            <w:tcW w:w="1417" w:type="dxa"/>
            <w:vAlign w:val="center"/>
          </w:tcPr>
          <w:p w:rsidR="00352820" w:rsidRPr="007032A4" w:rsidRDefault="00352820" w:rsidP="00C134EB">
            <w:pPr>
              <w:jc w:val="center"/>
              <w:rPr>
                <w:sz w:val="22"/>
                <w:szCs w:val="22"/>
              </w:rPr>
            </w:pPr>
            <w:r w:rsidRPr="007032A4">
              <w:rPr>
                <w:sz w:val="22"/>
                <w:szCs w:val="22"/>
              </w:rPr>
              <w:t>4700</w:t>
            </w:r>
          </w:p>
        </w:tc>
        <w:tc>
          <w:tcPr>
            <w:tcW w:w="1666" w:type="dxa"/>
            <w:vAlign w:val="center"/>
          </w:tcPr>
          <w:p w:rsidR="00352820" w:rsidRPr="007032A4" w:rsidRDefault="00352820" w:rsidP="00C134EB">
            <w:pPr>
              <w:jc w:val="center"/>
              <w:rPr>
                <w:sz w:val="22"/>
                <w:szCs w:val="22"/>
              </w:rPr>
            </w:pPr>
            <w:r w:rsidRPr="007032A4">
              <w:rPr>
                <w:sz w:val="22"/>
                <w:szCs w:val="22"/>
              </w:rPr>
              <w:t>10145,82</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11</w:t>
            </w:r>
          </w:p>
        </w:tc>
        <w:tc>
          <w:tcPr>
            <w:tcW w:w="6237" w:type="dxa"/>
          </w:tcPr>
          <w:p w:rsidR="00352820" w:rsidRPr="007032A4" w:rsidRDefault="00352820" w:rsidP="00C134EB">
            <w:pPr>
              <w:jc w:val="both"/>
              <w:rPr>
                <w:sz w:val="22"/>
                <w:szCs w:val="22"/>
              </w:rPr>
            </w:pPr>
            <w:r w:rsidRPr="007032A4">
              <w:rPr>
                <w:sz w:val="22"/>
                <w:szCs w:val="22"/>
              </w:rPr>
              <w:t>Объем отгруженных товаров собственного производства, выполненных работ, услуг собственными силами предприятиями малого бизнеса, млн. руб. всего</w:t>
            </w:r>
          </w:p>
        </w:tc>
        <w:tc>
          <w:tcPr>
            <w:tcW w:w="1417" w:type="dxa"/>
            <w:vAlign w:val="center"/>
          </w:tcPr>
          <w:p w:rsidR="00352820" w:rsidRPr="007032A4" w:rsidRDefault="00352820" w:rsidP="00C134EB">
            <w:pPr>
              <w:jc w:val="center"/>
              <w:rPr>
                <w:sz w:val="22"/>
                <w:szCs w:val="22"/>
              </w:rPr>
            </w:pPr>
            <w:r w:rsidRPr="007032A4">
              <w:rPr>
                <w:sz w:val="22"/>
                <w:szCs w:val="22"/>
              </w:rPr>
              <w:t>35000</w:t>
            </w:r>
          </w:p>
        </w:tc>
        <w:tc>
          <w:tcPr>
            <w:tcW w:w="1666" w:type="dxa"/>
            <w:vAlign w:val="center"/>
          </w:tcPr>
          <w:p w:rsidR="00352820" w:rsidRPr="007032A4" w:rsidRDefault="00352820" w:rsidP="00C134EB">
            <w:pPr>
              <w:jc w:val="center"/>
              <w:rPr>
                <w:sz w:val="22"/>
                <w:szCs w:val="22"/>
              </w:rPr>
            </w:pPr>
            <w:r w:rsidRPr="007032A4">
              <w:rPr>
                <w:sz w:val="22"/>
                <w:szCs w:val="22"/>
              </w:rPr>
              <w:t>8376,7* (2013 г.)</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12</w:t>
            </w:r>
          </w:p>
        </w:tc>
        <w:tc>
          <w:tcPr>
            <w:tcW w:w="6237" w:type="dxa"/>
          </w:tcPr>
          <w:p w:rsidR="00352820" w:rsidRPr="007032A4" w:rsidRDefault="00352820" w:rsidP="00C134EB">
            <w:pPr>
              <w:jc w:val="both"/>
              <w:rPr>
                <w:sz w:val="22"/>
                <w:szCs w:val="22"/>
              </w:rPr>
            </w:pPr>
            <w:r w:rsidRPr="007032A4">
              <w:rPr>
                <w:sz w:val="22"/>
                <w:szCs w:val="22"/>
              </w:rPr>
              <w:t>Объем инвестиций в основной капитал, млн. руб.</w:t>
            </w:r>
          </w:p>
        </w:tc>
        <w:tc>
          <w:tcPr>
            <w:tcW w:w="1417" w:type="dxa"/>
            <w:vAlign w:val="center"/>
          </w:tcPr>
          <w:p w:rsidR="00352820" w:rsidRPr="007032A4" w:rsidRDefault="00352820" w:rsidP="00C134EB">
            <w:pPr>
              <w:jc w:val="center"/>
              <w:rPr>
                <w:sz w:val="22"/>
                <w:szCs w:val="22"/>
              </w:rPr>
            </w:pPr>
            <w:r w:rsidRPr="007032A4">
              <w:rPr>
                <w:sz w:val="22"/>
                <w:szCs w:val="22"/>
              </w:rPr>
              <w:t>16500</w:t>
            </w:r>
          </w:p>
        </w:tc>
        <w:tc>
          <w:tcPr>
            <w:tcW w:w="1666" w:type="dxa"/>
            <w:vAlign w:val="center"/>
          </w:tcPr>
          <w:p w:rsidR="00352820" w:rsidRPr="007032A4" w:rsidRDefault="00352820" w:rsidP="00C134EB">
            <w:pPr>
              <w:jc w:val="center"/>
              <w:rPr>
                <w:sz w:val="22"/>
                <w:szCs w:val="22"/>
              </w:rPr>
            </w:pPr>
            <w:r w:rsidRPr="007032A4">
              <w:rPr>
                <w:sz w:val="22"/>
                <w:szCs w:val="22"/>
              </w:rPr>
              <w:t>4558,593*</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13</w:t>
            </w:r>
          </w:p>
        </w:tc>
        <w:tc>
          <w:tcPr>
            <w:tcW w:w="6237" w:type="dxa"/>
          </w:tcPr>
          <w:p w:rsidR="00352820" w:rsidRPr="007032A4" w:rsidRDefault="00352820" w:rsidP="00C134EB">
            <w:pPr>
              <w:jc w:val="both"/>
              <w:rPr>
                <w:sz w:val="22"/>
                <w:szCs w:val="22"/>
              </w:rPr>
            </w:pPr>
            <w:r w:rsidRPr="007032A4">
              <w:rPr>
                <w:sz w:val="22"/>
                <w:szCs w:val="22"/>
              </w:rPr>
              <w:t>Доходы консолидированного бюджета, млн. руб.</w:t>
            </w:r>
          </w:p>
        </w:tc>
        <w:tc>
          <w:tcPr>
            <w:tcW w:w="1417" w:type="dxa"/>
            <w:vAlign w:val="center"/>
          </w:tcPr>
          <w:p w:rsidR="00352820" w:rsidRPr="007032A4" w:rsidRDefault="00352820" w:rsidP="00C134EB">
            <w:pPr>
              <w:jc w:val="center"/>
              <w:rPr>
                <w:sz w:val="22"/>
                <w:szCs w:val="22"/>
              </w:rPr>
            </w:pPr>
            <w:r w:rsidRPr="007032A4">
              <w:rPr>
                <w:sz w:val="22"/>
                <w:szCs w:val="22"/>
              </w:rPr>
              <w:t>10400</w:t>
            </w:r>
          </w:p>
        </w:tc>
        <w:tc>
          <w:tcPr>
            <w:tcW w:w="1666" w:type="dxa"/>
            <w:vAlign w:val="center"/>
          </w:tcPr>
          <w:p w:rsidR="00352820" w:rsidRPr="007032A4" w:rsidRDefault="00352820" w:rsidP="00C134EB">
            <w:pPr>
              <w:jc w:val="center"/>
              <w:rPr>
                <w:sz w:val="22"/>
                <w:szCs w:val="22"/>
              </w:rPr>
            </w:pPr>
            <w:r w:rsidRPr="007032A4">
              <w:rPr>
                <w:sz w:val="22"/>
                <w:szCs w:val="22"/>
              </w:rPr>
              <w:t>5343,328*</w:t>
            </w:r>
          </w:p>
        </w:tc>
      </w:tr>
      <w:tr w:rsidR="00352820" w:rsidRPr="007032A4" w:rsidTr="00D47517">
        <w:tc>
          <w:tcPr>
            <w:tcW w:w="534" w:type="dxa"/>
          </w:tcPr>
          <w:p w:rsidR="00352820" w:rsidRPr="007032A4" w:rsidRDefault="00352820" w:rsidP="00C134EB">
            <w:pPr>
              <w:jc w:val="both"/>
              <w:rPr>
                <w:sz w:val="22"/>
                <w:szCs w:val="22"/>
              </w:rPr>
            </w:pPr>
            <w:r w:rsidRPr="007032A4">
              <w:rPr>
                <w:sz w:val="22"/>
                <w:szCs w:val="22"/>
              </w:rPr>
              <w:t>14</w:t>
            </w:r>
          </w:p>
        </w:tc>
        <w:tc>
          <w:tcPr>
            <w:tcW w:w="6237" w:type="dxa"/>
          </w:tcPr>
          <w:p w:rsidR="00352820" w:rsidRPr="007032A4" w:rsidRDefault="00352820" w:rsidP="00C134EB">
            <w:pPr>
              <w:jc w:val="both"/>
              <w:rPr>
                <w:sz w:val="22"/>
                <w:szCs w:val="22"/>
              </w:rPr>
            </w:pPr>
            <w:r w:rsidRPr="007032A4">
              <w:rPr>
                <w:sz w:val="22"/>
                <w:szCs w:val="22"/>
              </w:rPr>
              <w:t>Бюджетная обеспеченность на душу населения (консолидированный бюджет района), тыс. руб.</w:t>
            </w:r>
          </w:p>
        </w:tc>
        <w:tc>
          <w:tcPr>
            <w:tcW w:w="1417" w:type="dxa"/>
            <w:vAlign w:val="center"/>
          </w:tcPr>
          <w:p w:rsidR="00352820" w:rsidRPr="007032A4" w:rsidRDefault="00352820" w:rsidP="00C134EB">
            <w:pPr>
              <w:jc w:val="center"/>
              <w:rPr>
                <w:sz w:val="22"/>
                <w:szCs w:val="22"/>
              </w:rPr>
            </w:pPr>
            <w:r w:rsidRPr="007032A4">
              <w:rPr>
                <w:sz w:val="22"/>
                <w:szCs w:val="22"/>
              </w:rPr>
              <w:t>44,9</w:t>
            </w:r>
          </w:p>
        </w:tc>
        <w:tc>
          <w:tcPr>
            <w:tcW w:w="1666" w:type="dxa"/>
            <w:vAlign w:val="center"/>
          </w:tcPr>
          <w:p w:rsidR="00352820" w:rsidRPr="007032A4" w:rsidRDefault="00352820" w:rsidP="00C134EB">
            <w:pPr>
              <w:jc w:val="center"/>
              <w:rPr>
                <w:sz w:val="22"/>
                <w:szCs w:val="22"/>
              </w:rPr>
            </w:pPr>
            <w:r w:rsidRPr="007032A4">
              <w:rPr>
                <w:sz w:val="22"/>
                <w:szCs w:val="22"/>
              </w:rPr>
              <w:t>21,7*</w:t>
            </w:r>
          </w:p>
        </w:tc>
      </w:tr>
    </w:tbl>
    <w:p w:rsidR="00352820" w:rsidRPr="007032A4" w:rsidRDefault="00352820" w:rsidP="00C134EB">
      <w:pPr>
        <w:ind w:firstLine="397"/>
        <w:jc w:val="both"/>
        <w:rPr>
          <w:sz w:val="22"/>
          <w:szCs w:val="22"/>
        </w:rPr>
      </w:pPr>
      <w:r w:rsidRPr="007032A4">
        <w:rPr>
          <w:sz w:val="22"/>
          <w:szCs w:val="22"/>
        </w:rPr>
        <w:t>*Примечание: показатели, отмеченные * - не достигнуты.</w:t>
      </w:r>
    </w:p>
    <w:p w:rsidR="00352820" w:rsidRPr="007032A4" w:rsidRDefault="00352820" w:rsidP="00C134EB">
      <w:pPr>
        <w:ind w:firstLine="397"/>
        <w:jc w:val="both"/>
      </w:pPr>
    </w:p>
    <w:p w:rsidR="00352820" w:rsidRPr="007032A4" w:rsidRDefault="00352820" w:rsidP="00C134EB">
      <w:pPr>
        <w:ind w:firstLine="397"/>
        <w:jc w:val="both"/>
      </w:pPr>
      <w:r w:rsidRPr="007032A4">
        <w:t>По результатам подведения промежуточных итогов реализации Концепции можно выделить ряд показателей, которые развивались на протяжении 7 лет опережающими темпами по отношению к заложенным целевым значениям: это численность постоянного населения, численность экономически активного населения, миграционный прирост, а также оборот розничной торговли. Данные показатели оказались менее подвержены кризисным явлениям, которые отразились в последние годы на социально-экономическом развитии всей территории РФ. Отстающими темпами развивались показатели, характеризующие уровень жизни населения: уровень заработной платы, площадь жилищного фонда на одного жителя; а также экономические показатели: объем отгруженных товаров собственного производства, объем инвестиций в основной капитал, бюджетная обеспеченность.</w:t>
      </w:r>
    </w:p>
    <w:p w:rsidR="00352820" w:rsidRPr="007032A4" w:rsidRDefault="00352820" w:rsidP="00C134EB">
      <w:pPr>
        <w:ind w:firstLine="397"/>
        <w:jc w:val="both"/>
      </w:pPr>
      <w:r w:rsidRPr="007032A4">
        <w:t>Отмечаемый значительный рост численности населения (106,3 % по отношению к целевому значению), в первую очередь, объясняется благоприятными внешними факторами, оказывающими влияние на развитие территории Гатчинского муниципального района (которые на фоне общих кризисных явлений сгладили общую социально-экономическую ситуацию в Гатчинском муниципальном районе) – это и реализация крупных инфраструктурных инвестиционных проектов на территории муниципального района (реконструкция и строительство объектов транспортной и инженерной инфраструктур, реализация проектов по развитию объектов экономики и жилищного строительства), а также старт реализации крупных комплексных проектов по развитию научно-производственного потенциала города Гатчины, строительство перинатального центра и в целом сохранение потока инвестиций в развитие территории Гатчинского муниципального района. Данные факторы отразились на высокой привлекательности рынка жилищного строительства, который с учетом более дешевых земельных ресурсов, а также с учетом благоприятной транспортной доступности территории в отношении к Санкт-Петербургу, продолжал активно развиваться.</w:t>
      </w:r>
    </w:p>
    <w:p w:rsidR="00352820" w:rsidRPr="007032A4" w:rsidRDefault="00352820" w:rsidP="00C134EB">
      <w:pPr>
        <w:ind w:firstLine="397"/>
        <w:jc w:val="both"/>
      </w:pPr>
      <w:r w:rsidRPr="007032A4">
        <w:t>В целом, рост объемов жилищного строительства и ещё более быстрый рост численности населения, привели к некоторому отставанию показателя уровня жилищной обеспеченности населения и росту дефицита показателей обеспеченности населения объектами социальной инфраструктуры, а также обеспеченности территории объектами инженерной инфраструктуры. В связи с тем, что данные тенденции сохранятся еще в ближайшие 5-10 лет (в период реализации проектов федерального и регионального значения по развитию Северо-Западного нанотехнологического центра, проекта по созданию и развитию международного центра нейтронных исследований на базе ПИК ПИЯФ с привлечением специалистов и другие проекты), особое значение приобретает опережающий рост развития инфраструктурного обеспечения территории, обеспечивающий качество жизни населения и основу экономического роста.</w:t>
      </w:r>
    </w:p>
    <w:p w:rsidR="00352820" w:rsidRPr="007032A4" w:rsidRDefault="00352820" w:rsidP="00C134EB">
      <w:pPr>
        <w:ind w:firstLine="397"/>
        <w:jc w:val="both"/>
      </w:pPr>
      <w:r w:rsidRPr="007032A4">
        <w:lastRenderedPageBreak/>
        <w:t xml:space="preserve">В то же время отставание показателей экономического развития (строки 6, 8, 9, 11 табл.1), на фоне роста рабочих мест (строка 5 табл.1) демонстрируют отражение кризисных явлений и их последствий, характерных для страны в целом, которые не смогли снивелировать прочие благоприятные условия. В целом, </w:t>
      </w:r>
      <w:r w:rsidR="006177D3">
        <w:t>укрупнено,</w:t>
      </w:r>
      <w:r w:rsidRPr="007032A4">
        <w:t xml:space="preserve"> можно сделать вывод о том, что менее подверженными кризисным явлениям в условиях благоприятных внешних факторов развития, является сфера жилищного строительства, а более подвержены кризисным явлениям – промышленный комплекс и малое предпринимательство. </w:t>
      </w:r>
    </w:p>
    <w:p w:rsidR="00BD1871" w:rsidRPr="007032A4" w:rsidRDefault="00BD1871" w:rsidP="00C134EB">
      <w:pPr>
        <w:widowControl w:val="0"/>
        <w:autoSpaceDE w:val="0"/>
        <w:autoSpaceDN w:val="0"/>
        <w:adjustRightInd w:val="0"/>
        <w:ind w:firstLine="540"/>
        <w:jc w:val="both"/>
      </w:pPr>
      <w:r w:rsidRPr="007032A4">
        <w:t xml:space="preserve">К настоящему времени достигнуты следующие </w:t>
      </w:r>
      <w:r w:rsidRPr="007032A4">
        <w:rPr>
          <w:b/>
        </w:rPr>
        <w:t>ключевые положительные результаты</w:t>
      </w:r>
      <w:r w:rsidRPr="007032A4">
        <w:t xml:space="preserve"> реализации «Концепции-2020»:</w:t>
      </w:r>
    </w:p>
    <w:p w:rsidR="00BD1871" w:rsidRPr="007032A4" w:rsidRDefault="00BD1871" w:rsidP="00C134EB">
      <w:pPr>
        <w:widowControl w:val="0"/>
        <w:autoSpaceDE w:val="0"/>
        <w:autoSpaceDN w:val="0"/>
        <w:adjustRightInd w:val="0"/>
        <w:ind w:firstLine="540"/>
        <w:jc w:val="both"/>
      </w:pPr>
      <w:r w:rsidRPr="007032A4">
        <w:t>- сохранение стабильных темпов роста развития экономики, в том числе промышленного комплекса;</w:t>
      </w:r>
    </w:p>
    <w:p w:rsidR="00BD1871" w:rsidRPr="007032A4" w:rsidRDefault="00BD1871" w:rsidP="00C134EB">
      <w:pPr>
        <w:widowControl w:val="0"/>
        <w:autoSpaceDE w:val="0"/>
        <w:autoSpaceDN w:val="0"/>
        <w:adjustRightInd w:val="0"/>
        <w:ind w:firstLine="540"/>
        <w:jc w:val="both"/>
      </w:pPr>
      <w:r w:rsidRPr="007032A4">
        <w:t>- при активном содействии органов местного самоуправления успешно запущена реализация федеральных проектов в сфере развития научного комплекса г. Гатчина, реализация крупных проектов в сфере транспортной инфраструктуры на территории муниципального района;</w:t>
      </w:r>
    </w:p>
    <w:p w:rsidR="00BD1871" w:rsidRPr="007032A4" w:rsidRDefault="00BD1871" w:rsidP="00C134EB">
      <w:pPr>
        <w:widowControl w:val="0"/>
        <w:autoSpaceDE w:val="0"/>
        <w:autoSpaceDN w:val="0"/>
        <w:adjustRightInd w:val="0"/>
        <w:ind w:firstLine="540"/>
        <w:jc w:val="both"/>
      </w:pPr>
      <w:r w:rsidRPr="007032A4">
        <w:t>- реализация крупных проектов в социальной сфере: начало строительства регионального перинатального центра, развитие сети учреждений обслуживания населения в сфере образования, спорта, в том числе коммерческих объектов;</w:t>
      </w:r>
    </w:p>
    <w:p w:rsidR="00BD1871" w:rsidRPr="007032A4" w:rsidRDefault="00BD1871" w:rsidP="00C134EB">
      <w:pPr>
        <w:widowControl w:val="0"/>
        <w:autoSpaceDE w:val="0"/>
        <w:autoSpaceDN w:val="0"/>
        <w:adjustRightInd w:val="0"/>
        <w:ind w:firstLine="540"/>
        <w:jc w:val="both"/>
      </w:pPr>
      <w:r w:rsidRPr="007032A4">
        <w:t>- высокий уровень активности жилищного строительства;</w:t>
      </w:r>
    </w:p>
    <w:p w:rsidR="00BD1871" w:rsidRPr="007032A4" w:rsidRDefault="00BD1871" w:rsidP="00C134EB">
      <w:pPr>
        <w:widowControl w:val="0"/>
        <w:autoSpaceDE w:val="0"/>
        <w:autoSpaceDN w:val="0"/>
        <w:adjustRightInd w:val="0"/>
        <w:ind w:firstLine="540"/>
        <w:jc w:val="both"/>
      </w:pPr>
      <w:r w:rsidRPr="007032A4">
        <w:t>- опережающие темпы роста численности населения муниципального района;</w:t>
      </w:r>
    </w:p>
    <w:p w:rsidR="00BD1871" w:rsidRPr="007032A4" w:rsidRDefault="00BD1871" w:rsidP="00C134EB">
      <w:pPr>
        <w:widowControl w:val="0"/>
        <w:autoSpaceDE w:val="0"/>
        <w:autoSpaceDN w:val="0"/>
        <w:adjustRightInd w:val="0"/>
        <w:ind w:firstLine="540"/>
        <w:jc w:val="both"/>
      </w:pPr>
      <w:r w:rsidRPr="007032A4">
        <w:t>- реорганизация органов местного самоуправления с объединением администрации Гатчинского муниципального района и администрации МО «Город Гатчина».</w:t>
      </w:r>
    </w:p>
    <w:p w:rsidR="00BD1871" w:rsidRPr="007032A4" w:rsidRDefault="00BD1871" w:rsidP="00C134EB">
      <w:pPr>
        <w:widowControl w:val="0"/>
        <w:autoSpaceDE w:val="0"/>
        <w:autoSpaceDN w:val="0"/>
        <w:adjustRightInd w:val="0"/>
        <w:ind w:firstLine="540"/>
        <w:jc w:val="both"/>
      </w:pPr>
    </w:p>
    <w:p w:rsidR="00BD1871" w:rsidRPr="007032A4" w:rsidRDefault="00BD1871" w:rsidP="00C134EB">
      <w:pPr>
        <w:widowControl w:val="0"/>
        <w:autoSpaceDE w:val="0"/>
        <w:autoSpaceDN w:val="0"/>
        <w:adjustRightInd w:val="0"/>
        <w:ind w:firstLine="540"/>
        <w:jc w:val="both"/>
      </w:pPr>
      <w:r w:rsidRPr="007032A4">
        <w:t xml:space="preserve">Тем не менее, можно отметить сохранение следующих наиболее острых </w:t>
      </w:r>
      <w:r w:rsidRPr="007032A4">
        <w:rPr>
          <w:b/>
        </w:rPr>
        <w:t>проблемных вопросов</w:t>
      </w:r>
      <w:r w:rsidRPr="007032A4">
        <w:t>:</w:t>
      </w:r>
    </w:p>
    <w:p w:rsidR="00BD1871" w:rsidRPr="007032A4" w:rsidRDefault="00BD1871" w:rsidP="00C134EB">
      <w:pPr>
        <w:widowControl w:val="0"/>
        <w:autoSpaceDE w:val="0"/>
        <w:autoSpaceDN w:val="0"/>
        <w:adjustRightInd w:val="0"/>
        <w:ind w:firstLine="540"/>
        <w:jc w:val="both"/>
      </w:pPr>
      <w:r w:rsidRPr="007032A4">
        <w:t>- сохранение отстающих темпов развития инфраструктурного благоустройства территории объектами инженерной и транспортной инфраструктур, высокая степень износа коммунальной инфраструктуры, особенно в сельской местности, низкий уровень обеспеченности свободных инвестиционных площадок инженерной инфраструктурой;</w:t>
      </w:r>
    </w:p>
    <w:p w:rsidR="00BD1871" w:rsidRPr="007032A4" w:rsidRDefault="00BD1871" w:rsidP="00C134EB">
      <w:pPr>
        <w:widowControl w:val="0"/>
        <w:autoSpaceDE w:val="0"/>
        <w:autoSpaceDN w:val="0"/>
        <w:adjustRightInd w:val="0"/>
        <w:ind w:firstLine="540"/>
        <w:jc w:val="both"/>
      </w:pPr>
      <w:r w:rsidRPr="007032A4">
        <w:t>- сохранение проблем в социальной сфере в части кадрового потенциала и необходимости ускорения темпов обновления материально-технической базы, особенно в сельской местности;</w:t>
      </w:r>
    </w:p>
    <w:p w:rsidR="00BD1871" w:rsidRPr="007032A4" w:rsidRDefault="00BD1871" w:rsidP="00C134EB">
      <w:pPr>
        <w:widowControl w:val="0"/>
        <w:autoSpaceDE w:val="0"/>
        <w:autoSpaceDN w:val="0"/>
        <w:adjustRightInd w:val="0"/>
        <w:ind w:firstLine="540"/>
        <w:jc w:val="both"/>
      </w:pPr>
      <w:r w:rsidRPr="007032A4">
        <w:t>- дисбаланс экономического развития городских и сельских поселений, недостаток рабочих мест, особенно в сельской местности.</w:t>
      </w:r>
    </w:p>
    <w:p w:rsidR="00BD1871" w:rsidRPr="007032A4" w:rsidRDefault="00BD1871" w:rsidP="00C134EB">
      <w:pPr>
        <w:ind w:firstLine="397"/>
        <w:jc w:val="both"/>
      </w:pPr>
      <w:r w:rsidRPr="007032A4">
        <w:t>Дисбаланс в развитии</w:t>
      </w:r>
      <w:r w:rsidR="007750E6" w:rsidRPr="007032A4">
        <w:t xml:space="preserve"> </w:t>
      </w:r>
      <w:r w:rsidRPr="007032A4">
        <w:t>целевых показателей « Концепции-2020» (опережающие темпы развития демографических показателей и объемов жилищного строительства на фоне отставания развития инфраструктуры) отражает недостаточно высокую эффективность сформированной системы комплексного стратегического управления, что отразилось на разобщенности приоритетных направлений социально-экономического развития, заложенных в «Концепции-2020». Необходимо учесть данную особенность при подготовке Стратегии социально-экономического развития и создать комплексную взаимосвязанную систему управления стратегическим развитием на муниципальном уровне с привлечением всех участников стратегического планирования к ее реализации (в том числе органы местного самоуправления, предпринимательское сообщество, население).</w:t>
      </w:r>
    </w:p>
    <w:p w:rsidR="00E92DE6" w:rsidRPr="007032A4" w:rsidRDefault="00E92DE6" w:rsidP="00C134EB">
      <w:pPr>
        <w:ind w:firstLine="397"/>
        <w:jc w:val="both"/>
      </w:pPr>
    </w:p>
    <w:p w:rsidR="00352820" w:rsidRPr="007032A4" w:rsidRDefault="00352820" w:rsidP="00C134EB">
      <w:pPr>
        <w:ind w:firstLine="397"/>
        <w:jc w:val="both"/>
      </w:pPr>
      <w:r w:rsidRPr="007032A4">
        <w:t>Таким образом, с учетом отмеченных диспропорций в развитии целевых показателей социально-экономического развития Гатчинского муниципального района требуется корректировка документов стратегического развития на долгосрочную перспективу, а также уточнение целевых показателей (индикаторов развития) с пересмотром положений «Концепции-2020».</w:t>
      </w:r>
    </w:p>
    <w:p w:rsidR="00352820" w:rsidRPr="007032A4" w:rsidRDefault="00EF12A4" w:rsidP="00C134EB">
      <w:pPr>
        <w:ind w:firstLine="397"/>
        <w:jc w:val="both"/>
      </w:pPr>
      <w:r w:rsidRPr="007032A4">
        <w:t xml:space="preserve">При подготовке актуализированной Стратегии социально-экономического развития Гатчинского муниципального района с учетом новых подходов к стратегическому </w:t>
      </w:r>
      <w:r w:rsidRPr="007032A4">
        <w:lastRenderedPageBreak/>
        <w:t>планированию на федеральном уровне, применяется инновационный подход на основе и с учетом опыта реализации действующей Концепции социально-экономического развития Гатчинского муниципального района на период до 2020 года (далее – «Концепция-2020»). В основе данного документа заложены принципы, утвержденные в составе «Основных положений стратегического планирования в Гатчинском муниципальном районе»: организация и функционирование системы стратегического планирования основывается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FC6781" w:rsidRPr="007032A4" w:rsidRDefault="00FC6781" w:rsidP="00C134EB">
      <w:pPr>
        <w:ind w:firstLine="397"/>
        <w:jc w:val="both"/>
      </w:pPr>
      <w:r w:rsidRPr="007032A4">
        <w:t>С учетом полномочий местного значения муниципального района уточнен состав приоритетных направлений развития: исключ</w:t>
      </w:r>
      <w:r w:rsidR="00720CB8" w:rsidRPr="007032A4">
        <w:t>ены</w:t>
      </w:r>
      <w:r w:rsidRPr="007032A4">
        <w:t xml:space="preserve"> такие государственные вопросы как демографическая политика и здравоохранение, усили</w:t>
      </w:r>
      <w:r w:rsidR="00720CB8" w:rsidRPr="007032A4">
        <w:t>я</w:t>
      </w:r>
      <w:r w:rsidRPr="007032A4">
        <w:t xml:space="preserve"> администрации </w:t>
      </w:r>
      <w:r w:rsidR="00720CB8" w:rsidRPr="007032A4">
        <w:t xml:space="preserve">направлены </w:t>
      </w:r>
      <w:r w:rsidRPr="007032A4">
        <w:t>на други</w:t>
      </w:r>
      <w:r w:rsidR="00720CB8" w:rsidRPr="007032A4">
        <w:t>е</w:t>
      </w:r>
      <w:r w:rsidRPr="007032A4">
        <w:t xml:space="preserve"> сфер</w:t>
      </w:r>
      <w:r w:rsidR="00720CB8" w:rsidRPr="007032A4">
        <w:t>ы</w:t>
      </w:r>
      <w:r w:rsidRPr="007032A4">
        <w:t xml:space="preserve"> повышения качества жизни населения, таки</w:t>
      </w:r>
      <w:r w:rsidR="00720CB8" w:rsidRPr="007032A4">
        <w:t>е</w:t>
      </w:r>
      <w:r w:rsidRPr="007032A4">
        <w:t xml:space="preserve"> как сфера образования, культуры, спорта, жилищной политики, со</w:t>
      </w:r>
      <w:r w:rsidR="00720CB8" w:rsidRPr="007032A4">
        <w:t>действие со</w:t>
      </w:r>
      <w:r w:rsidRPr="007032A4">
        <w:t>здани</w:t>
      </w:r>
      <w:r w:rsidR="00720CB8" w:rsidRPr="007032A4">
        <w:t>ю</w:t>
      </w:r>
      <w:r w:rsidRPr="007032A4">
        <w:t xml:space="preserve"> рабочих мест, развити</w:t>
      </w:r>
      <w:r w:rsidR="00720CB8" w:rsidRPr="007032A4">
        <w:t>е</w:t>
      </w:r>
      <w:r w:rsidRPr="007032A4">
        <w:t xml:space="preserve"> мест отдыха, развития малого предпринимательства, повышени</w:t>
      </w:r>
      <w:r w:rsidR="00720CB8" w:rsidRPr="007032A4">
        <w:t>е</w:t>
      </w:r>
      <w:r w:rsidRPr="007032A4">
        <w:t xml:space="preserve"> безопасности, развития коммунальной инфраструктуры, пассажирского транспорта и других.</w:t>
      </w:r>
    </w:p>
    <w:p w:rsidR="00352820" w:rsidRPr="007032A4" w:rsidRDefault="00352820" w:rsidP="00C134EB">
      <w:pPr>
        <w:ind w:firstLine="397"/>
        <w:jc w:val="both"/>
      </w:pPr>
      <w:r w:rsidRPr="007032A4">
        <w:t>В условиях современных вызовов и угроз социально-экономического развития с учетом формирующегося нового формата управления стратегическим развитием территории на уровне Гатчинского муниципального района (объединение органов администрации муниципального района и административного центра МО «Город Гатчина», принятие современных нормативно-правовых актов в сфере стратегического планирования) подготовлен</w:t>
      </w:r>
      <w:r w:rsidRPr="007032A4">
        <w:rPr>
          <w:b/>
        </w:rPr>
        <w:t xml:space="preserve"> документ стратегического планирования нового поколения</w:t>
      </w:r>
      <w:r w:rsidRPr="007032A4">
        <w:t xml:space="preserve">, объединяющий в себе два документа – Стратегию социально-экономического развития Гатчинского муниципального района и Стратегию социально-экономического развития МО «Город Гатчина» – </w:t>
      </w:r>
      <w:r w:rsidRPr="007032A4">
        <w:rPr>
          <w:b/>
        </w:rPr>
        <w:t>«Стратегия новых возможностей»</w:t>
      </w:r>
      <w:r w:rsidRPr="007032A4">
        <w:t>.</w:t>
      </w:r>
    </w:p>
    <w:p w:rsidR="0033373F" w:rsidRPr="007032A4" w:rsidRDefault="0033373F" w:rsidP="00C134EB">
      <w:pPr>
        <w:pStyle w:val="18"/>
        <w:suppressAutoHyphens/>
        <w:spacing w:before="0" w:after="0"/>
        <w:ind w:left="0" w:firstLine="397"/>
      </w:pPr>
    </w:p>
    <w:bookmarkEnd w:id="1"/>
    <w:bookmarkEnd w:id="2"/>
    <w:p w:rsidR="005802CE" w:rsidRPr="007032A4" w:rsidRDefault="005802CE" w:rsidP="00C134EB">
      <w:pPr>
        <w:pStyle w:val="18"/>
        <w:suppressAutoHyphens/>
        <w:spacing w:before="0" w:after="0"/>
        <w:ind w:left="0"/>
        <w:rPr>
          <w:sz w:val="28"/>
          <w:szCs w:val="28"/>
        </w:rPr>
      </w:pPr>
    </w:p>
    <w:sectPr w:rsidR="005802CE" w:rsidRPr="007032A4" w:rsidSect="005E32BA">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D1" w:rsidRDefault="008D7DD1">
      <w:r>
        <w:separator/>
      </w:r>
    </w:p>
  </w:endnote>
  <w:endnote w:type="continuationSeparator" w:id="1">
    <w:p w:rsidR="008D7DD1" w:rsidRDefault="008D7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D1" w:rsidRDefault="008D7DD1">
      <w:r>
        <w:separator/>
      </w:r>
    </w:p>
  </w:footnote>
  <w:footnote w:type="continuationSeparator" w:id="1">
    <w:p w:rsidR="008D7DD1" w:rsidRDefault="008D7DD1">
      <w:r>
        <w:continuationSeparator/>
      </w:r>
    </w:p>
  </w:footnote>
  <w:footnote w:id="2">
    <w:p w:rsidR="00E50F19" w:rsidRDefault="00E50F19" w:rsidP="00352820">
      <w:pPr>
        <w:pStyle w:val="affe"/>
        <w:jc w:val="both"/>
      </w:pPr>
      <w:r>
        <w:rPr>
          <w:rStyle w:val="afff0"/>
        </w:rPr>
        <w:footnoteRef/>
      </w:r>
      <w:r>
        <w:t xml:space="preserve"> </w:t>
      </w:r>
      <w:r w:rsidRPr="004739AF">
        <w:t xml:space="preserve">Целевые ориентиры и контрольные показатели </w:t>
      </w:r>
      <w:r>
        <w:t xml:space="preserve">(Приложение 1 к </w:t>
      </w:r>
      <w:r w:rsidRPr="006A6121">
        <w:t>Концепци</w:t>
      </w:r>
      <w:r>
        <w:t>и</w:t>
      </w:r>
      <w:r w:rsidRPr="006A6121">
        <w:t xml:space="preserve"> социально-экономического развития Гатчинского муниципального района до 2020 года</w:t>
      </w:r>
      <w:r>
        <w:t>)</w:t>
      </w:r>
    </w:p>
  </w:footnote>
  <w:footnote w:id="3">
    <w:p w:rsidR="00E50F19" w:rsidRDefault="00E50F19" w:rsidP="00352820">
      <w:pPr>
        <w:pStyle w:val="affe"/>
        <w:jc w:val="both"/>
      </w:pPr>
      <w:r>
        <w:rPr>
          <w:rStyle w:val="afff0"/>
        </w:rPr>
        <w:footnoteRef/>
      </w:r>
      <w:r>
        <w:t xml:space="preserve"> По данным Паспорта Гатчинского муниципального района за 2014 год</w:t>
      </w:r>
    </w:p>
  </w:footnote>
  <w:footnote w:id="4">
    <w:p w:rsidR="00E50F19" w:rsidRDefault="00E50F19">
      <w:pPr>
        <w:pStyle w:val="affe"/>
      </w:pPr>
      <w:r>
        <w:rPr>
          <w:rStyle w:val="afff0"/>
        </w:rPr>
        <w:footnoteRef/>
      </w:r>
      <w:r>
        <w:t xml:space="preserve"> По крупным и средним предприятиям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7AD"/>
    <w:rsid w:val="001E0C72"/>
    <w:rsid w:val="001E0D6E"/>
    <w:rsid w:val="001E13E6"/>
    <w:rsid w:val="001E1C04"/>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73CE"/>
    <w:rsid w:val="003F7FE5"/>
    <w:rsid w:val="00400792"/>
    <w:rsid w:val="00401C18"/>
    <w:rsid w:val="00401DCC"/>
    <w:rsid w:val="004024B7"/>
    <w:rsid w:val="00402E19"/>
    <w:rsid w:val="00403D67"/>
    <w:rsid w:val="00404078"/>
    <w:rsid w:val="0040449A"/>
    <w:rsid w:val="0040487D"/>
    <w:rsid w:val="0040524C"/>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65C8"/>
    <w:rsid w:val="005D663B"/>
    <w:rsid w:val="005D68D0"/>
    <w:rsid w:val="005D6CC4"/>
    <w:rsid w:val="005D71F9"/>
    <w:rsid w:val="005D7B81"/>
    <w:rsid w:val="005E1393"/>
    <w:rsid w:val="005E195E"/>
    <w:rsid w:val="005E25BA"/>
    <w:rsid w:val="005E32BA"/>
    <w:rsid w:val="005E5498"/>
    <w:rsid w:val="005E6FF3"/>
    <w:rsid w:val="005E7176"/>
    <w:rsid w:val="005E7C5D"/>
    <w:rsid w:val="005E7E91"/>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D7DD1"/>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146"/>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keywords/>
  <dc:description/>
  <cp:lastModifiedBy>User-PC</cp:lastModifiedBy>
  <cp:revision>69</cp:revision>
  <cp:lastPrinted>2015-12-11T10:39:00Z</cp:lastPrinted>
  <dcterms:created xsi:type="dcterms:W3CDTF">2015-12-01T11:06:00Z</dcterms:created>
  <dcterms:modified xsi:type="dcterms:W3CDTF">2017-03-23T12:05:00Z</dcterms:modified>
</cp:coreProperties>
</file>