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E" w:rsidRPr="007032A4" w:rsidRDefault="005802CE" w:rsidP="00F20CF1">
      <w:pPr>
        <w:pStyle w:val="1"/>
      </w:pPr>
      <w:bookmarkStart w:id="0" w:name="_Toc437601003"/>
      <w:bookmarkStart w:id="1" w:name="_Toc280265588"/>
      <w:bookmarkStart w:id="2" w:name="_Toc300594927"/>
      <w:r w:rsidRPr="007032A4">
        <w:t>Ожидаемые результаты реализации Стратегии</w:t>
      </w:r>
      <w:bookmarkEnd w:id="0"/>
    </w:p>
    <w:p w:rsidR="005802CE" w:rsidRPr="007032A4" w:rsidRDefault="005802CE" w:rsidP="00C134EB">
      <w:pPr>
        <w:jc w:val="both"/>
      </w:pPr>
    </w:p>
    <w:p w:rsidR="00A56036" w:rsidRPr="007032A4" w:rsidRDefault="007E55D8" w:rsidP="00C134EB">
      <w:pPr>
        <w:ind w:firstLine="397"/>
        <w:jc w:val="both"/>
      </w:pPr>
      <w:r w:rsidRPr="007032A4">
        <w:t xml:space="preserve">Индикаторы социально-экономического развития являются стратегическим инструментом, отражающим наглядность всех действий по стратегическому управлению </w:t>
      </w:r>
      <w:r w:rsidR="00FE5A2C" w:rsidRPr="007032A4">
        <w:t xml:space="preserve">развитием </w:t>
      </w:r>
      <w:r w:rsidRPr="007032A4">
        <w:t>территори</w:t>
      </w:r>
      <w:r w:rsidR="00FE5A2C" w:rsidRPr="007032A4">
        <w:t>и</w:t>
      </w:r>
      <w:r w:rsidRPr="007032A4">
        <w:t xml:space="preserve">, их </w:t>
      </w:r>
      <w:r w:rsidR="00FE5A2C" w:rsidRPr="007032A4">
        <w:t xml:space="preserve">согласованность, </w:t>
      </w:r>
      <w:r w:rsidRPr="007032A4">
        <w:t xml:space="preserve">темпы достижения целей. </w:t>
      </w:r>
      <w:r w:rsidR="00A56036" w:rsidRPr="007032A4">
        <w:t>С целью повышения эффективности стратегического планирования и управления развитием территории в основе выбора целевых индикаторов развития используется двухступенчатый подход:</w:t>
      </w:r>
    </w:p>
    <w:p w:rsidR="00A56036" w:rsidRPr="007032A4" w:rsidRDefault="00A56036" w:rsidP="005C1821">
      <w:pPr>
        <w:pStyle w:val="affff3"/>
        <w:numPr>
          <w:ilvl w:val="0"/>
          <w:numId w:val="47"/>
        </w:numPr>
        <w:jc w:val="both"/>
      </w:pPr>
      <w:r w:rsidRPr="007032A4">
        <w:t xml:space="preserve">Общие и комплексные индикаторы </w:t>
      </w:r>
      <w:r w:rsidR="00337914" w:rsidRPr="007032A4">
        <w:t xml:space="preserve">социально-экономического </w:t>
      </w:r>
      <w:r w:rsidRPr="007032A4">
        <w:t>развития;</w:t>
      </w:r>
    </w:p>
    <w:p w:rsidR="00A56036" w:rsidRPr="007032A4" w:rsidRDefault="00A56036" w:rsidP="005C1821">
      <w:pPr>
        <w:pStyle w:val="affff3"/>
        <w:numPr>
          <w:ilvl w:val="0"/>
          <w:numId w:val="47"/>
        </w:numPr>
        <w:jc w:val="both"/>
      </w:pPr>
      <w:r w:rsidRPr="007032A4">
        <w:t>Отраслевые индикаторы развития</w:t>
      </w:r>
      <w:r w:rsidR="00337914" w:rsidRPr="007032A4">
        <w:t xml:space="preserve"> по приоритетным направлениям</w:t>
      </w:r>
      <w:r w:rsidRPr="007032A4">
        <w:t>.</w:t>
      </w:r>
    </w:p>
    <w:p w:rsidR="005106DE" w:rsidRPr="007032A4" w:rsidRDefault="002E19D9" w:rsidP="00FF0A05">
      <w:pPr>
        <w:ind w:firstLine="360"/>
        <w:jc w:val="both"/>
      </w:pPr>
      <w:r w:rsidRPr="007032A4">
        <w:t>Показатели достижения стратегических приоритетов предлагаются исходя из перспектив и проблем, характерных для социально-экономического развития Гатчинского муниципального района. Они призваны отслеживать развитие ситуации, связанной с ростом качества жизни и общим экономическим ростом, с развитием промышленности, привлечением инвестиций и другими факторами. Целевые показатели являются наиболее эффективным инструментом</w:t>
      </w:r>
      <w:r w:rsidR="00E3148E" w:rsidRPr="007032A4">
        <w:t xml:space="preserve"> контроля за эффективностью реализации Стратегии социально-экономического развития, они позволяют своевременно определять отклонения от заданных параметров развития и вносить необходимые корректировки в процесс управления.</w:t>
      </w:r>
    </w:p>
    <w:p w:rsidR="002E19D9" w:rsidRPr="007032A4" w:rsidRDefault="002E19D9" w:rsidP="00C134EB">
      <w:pPr>
        <w:jc w:val="both"/>
      </w:pPr>
    </w:p>
    <w:p w:rsidR="005106DE" w:rsidRPr="007032A4" w:rsidRDefault="005106DE" w:rsidP="00C134EB">
      <w:pPr>
        <w:ind w:firstLine="360"/>
        <w:jc w:val="both"/>
      </w:pPr>
      <w:r w:rsidRPr="007032A4">
        <w:rPr>
          <w:b/>
        </w:rPr>
        <w:t>Общие индикаторы развития</w:t>
      </w:r>
      <w:r w:rsidRPr="007032A4">
        <w:t xml:space="preserve"> включают итоговые целевые индикаторы, развитие которых зависит от реализации всех приорите</w:t>
      </w:r>
      <w:r w:rsidR="0052584C" w:rsidRPr="007032A4">
        <w:t>т</w:t>
      </w:r>
      <w:r w:rsidRPr="007032A4">
        <w:t xml:space="preserve">ных направлений и отражает </w:t>
      </w:r>
      <w:r w:rsidR="0052584C" w:rsidRPr="007032A4">
        <w:t>эффективность реализации:</w:t>
      </w:r>
    </w:p>
    <w:p w:rsidR="0052584C" w:rsidRPr="007032A4" w:rsidRDefault="0052584C" w:rsidP="005C1821">
      <w:pPr>
        <w:pStyle w:val="affff3"/>
        <w:numPr>
          <w:ilvl w:val="0"/>
          <w:numId w:val="47"/>
        </w:numPr>
        <w:jc w:val="both"/>
      </w:pPr>
      <w:r w:rsidRPr="007032A4">
        <w:rPr>
          <w:b/>
        </w:rPr>
        <w:t>Численность постоянного населения</w:t>
      </w:r>
      <w:r w:rsidRPr="007032A4">
        <w:t xml:space="preserve"> (отражает привлекательность территории для проживания</w:t>
      </w:r>
      <w:r w:rsidR="00C951ED" w:rsidRPr="007032A4">
        <w:t>, комплексное влияние показателей естественного движения населения и миграционного прироста</w:t>
      </w:r>
      <w:r w:rsidRPr="007032A4">
        <w:t>)</w:t>
      </w:r>
      <w:r w:rsidR="00880491" w:rsidRPr="007032A4">
        <w:t>;</w:t>
      </w:r>
    </w:p>
    <w:p w:rsidR="0052584C" w:rsidRPr="007032A4" w:rsidRDefault="0052584C" w:rsidP="005C1821">
      <w:pPr>
        <w:pStyle w:val="affff3"/>
        <w:numPr>
          <w:ilvl w:val="0"/>
          <w:numId w:val="47"/>
        </w:numPr>
        <w:jc w:val="both"/>
      </w:pPr>
      <w:r w:rsidRPr="007032A4">
        <w:rPr>
          <w:b/>
        </w:rPr>
        <w:t>Численность работающих в экономике</w:t>
      </w:r>
      <w:r w:rsidRPr="007032A4">
        <w:t xml:space="preserve"> по крупным и средним предприятиям (отражает динамику </w:t>
      </w:r>
      <w:r w:rsidR="00880491" w:rsidRPr="007032A4">
        <w:t>развития мест приложения труда</w:t>
      </w:r>
      <w:r w:rsidRPr="007032A4">
        <w:t>), по возможности данный показатель желательно рассчитывать и для малого предпринимательства;</w:t>
      </w:r>
    </w:p>
    <w:p w:rsidR="0052584C" w:rsidRPr="007032A4" w:rsidRDefault="0052584C" w:rsidP="005C1821">
      <w:pPr>
        <w:pStyle w:val="affff3"/>
        <w:numPr>
          <w:ilvl w:val="0"/>
          <w:numId w:val="47"/>
        </w:numPr>
        <w:jc w:val="both"/>
      </w:pPr>
      <w:r w:rsidRPr="007032A4">
        <w:rPr>
          <w:b/>
        </w:rPr>
        <w:t>Уровень среднемесячной</w:t>
      </w:r>
      <w:r w:rsidRPr="007032A4">
        <w:t xml:space="preserve"> </w:t>
      </w:r>
      <w:r w:rsidRPr="007032A4">
        <w:rPr>
          <w:b/>
        </w:rPr>
        <w:t>заработной платы</w:t>
      </w:r>
      <w:r w:rsidRPr="007032A4">
        <w:t xml:space="preserve"> по крупным и средним предприятиям в процентах от среднего уровня по Ленинградской области (отражает конкурентоспособность экономики по привлечению более квалифицированной рабочей силы</w:t>
      </w:r>
      <w:r w:rsidR="004A043D" w:rsidRPr="007032A4">
        <w:t xml:space="preserve"> в сравнении с региональным рынком труда, можно сравнивать динамику в сравнении со средним уровнем показателя по Санкт-Петербургу</w:t>
      </w:r>
      <w:r w:rsidRPr="007032A4">
        <w:t>)</w:t>
      </w:r>
      <w:r w:rsidR="004A043D" w:rsidRPr="007032A4">
        <w:t>; данный индикатор напрямую влияет на качество жизни населения, при этом, действия администрации на него имеют только косвенное влияние от комплексного эффекта социально-экономического развития и управления, поэтому индикатор уровня заработной платы отражает эффективность (успешность) проводимой экономической политики</w:t>
      </w:r>
      <w:r w:rsidRPr="007032A4">
        <w:t>;</w:t>
      </w:r>
    </w:p>
    <w:p w:rsidR="0052584C" w:rsidRPr="007032A4" w:rsidRDefault="0052584C" w:rsidP="005C1821">
      <w:pPr>
        <w:pStyle w:val="affff3"/>
        <w:numPr>
          <w:ilvl w:val="0"/>
          <w:numId w:val="47"/>
        </w:numPr>
        <w:jc w:val="both"/>
      </w:pPr>
      <w:r w:rsidRPr="007032A4">
        <w:t xml:space="preserve">Уровень </w:t>
      </w:r>
      <w:r w:rsidRPr="007032A4">
        <w:rPr>
          <w:b/>
        </w:rPr>
        <w:t>инвестиций в экономику</w:t>
      </w:r>
      <w:r w:rsidRPr="007032A4">
        <w:t xml:space="preserve"> в расчете на душу населения – в процентах от аналогичного показателя по Ленинградской области (отражает уровень инвестиционной активности</w:t>
      </w:r>
      <w:r w:rsidR="007B3E01" w:rsidRPr="007032A4">
        <w:t xml:space="preserve"> в сравнении со среднеобластным уровнем</w:t>
      </w:r>
      <w:r w:rsidRPr="007032A4">
        <w:t>);</w:t>
      </w:r>
    </w:p>
    <w:p w:rsidR="0052584C" w:rsidRPr="007032A4" w:rsidRDefault="0052584C" w:rsidP="005C1821">
      <w:pPr>
        <w:pStyle w:val="affff3"/>
        <w:numPr>
          <w:ilvl w:val="0"/>
          <w:numId w:val="47"/>
        </w:numPr>
        <w:jc w:val="both"/>
      </w:pPr>
      <w:r w:rsidRPr="007032A4">
        <w:t xml:space="preserve">Расчет </w:t>
      </w:r>
      <w:r w:rsidRPr="007032A4">
        <w:rPr>
          <w:b/>
        </w:rPr>
        <w:t>валового муниципального продукта</w:t>
      </w:r>
      <w:r w:rsidRPr="007032A4">
        <w:t xml:space="preserve"> (данный индикатор требует дополнительной разработки методики расчета применительно к Гатчинскому муниципальному району с учетом возможности получения доступной и достоверной статистической информации)</w:t>
      </w:r>
      <w:r w:rsidR="005B2F74" w:rsidRPr="007032A4">
        <w:t>.</w:t>
      </w:r>
    </w:p>
    <w:p w:rsidR="005106DE" w:rsidRPr="007032A4" w:rsidRDefault="005106DE" w:rsidP="00C134EB">
      <w:pPr>
        <w:jc w:val="both"/>
      </w:pPr>
    </w:p>
    <w:p w:rsidR="00A56036" w:rsidRPr="007032A4" w:rsidRDefault="00A56036" w:rsidP="00C134EB">
      <w:pPr>
        <w:ind w:firstLine="397"/>
        <w:jc w:val="both"/>
      </w:pPr>
      <w:r w:rsidRPr="007032A4">
        <w:t xml:space="preserve">С целью обеспечения условий комплексного развития всех трех приоритетных направлений, снижения рисков дисбаланса в динамике развития целевых индикаторов по различным приоритетным направлениям, </w:t>
      </w:r>
      <w:r w:rsidR="009D0CDE" w:rsidRPr="007032A4">
        <w:t>в состав индикаторов включены</w:t>
      </w:r>
      <w:r w:rsidRPr="007032A4">
        <w:t xml:space="preserve"> </w:t>
      </w:r>
      <w:r w:rsidR="0052584C" w:rsidRPr="007032A4">
        <w:rPr>
          <w:b/>
        </w:rPr>
        <w:t xml:space="preserve">отраслевые </w:t>
      </w:r>
      <w:r w:rsidRPr="007032A4">
        <w:rPr>
          <w:b/>
        </w:rPr>
        <w:t>целевые индикаторы</w:t>
      </w:r>
      <w:r w:rsidRPr="007032A4">
        <w:t>, отражающие итоги развития по каждому приоритетному направлению (табл.</w:t>
      </w:r>
      <w:r w:rsidR="009D0CDE" w:rsidRPr="007032A4">
        <w:t xml:space="preserve"> 4</w:t>
      </w:r>
      <w:r w:rsidR="000F79C3">
        <w:t>0</w:t>
      </w:r>
      <w:r w:rsidRPr="007032A4">
        <w:t>).</w:t>
      </w:r>
    </w:p>
    <w:p w:rsidR="00FF5DB4" w:rsidRPr="007032A4" w:rsidRDefault="00FF5DB4" w:rsidP="00C134EB">
      <w:pPr>
        <w:jc w:val="right"/>
        <w:sectPr w:rsidR="00FF5DB4" w:rsidRPr="007032A4" w:rsidSect="0069178C">
          <w:footerReference w:type="default" r:id="rId8"/>
          <w:pgSz w:w="11906" w:h="16838"/>
          <w:pgMar w:top="1134" w:right="1134" w:bottom="1134" w:left="1134" w:header="708" w:footer="708" w:gutter="0"/>
          <w:cols w:space="708"/>
          <w:titlePg/>
          <w:docGrid w:linePitch="360"/>
        </w:sectPr>
      </w:pPr>
    </w:p>
    <w:p w:rsidR="00EA4AA9" w:rsidRPr="007032A4" w:rsidRDefault="00EA4AA9" w:rsidP="00EA4AA9">
      <w:pPr>
        <w:autoSpaceDE w:val="0"/>
        <w:autoSpaceDN w:val="0"/>
        <w:adjustRightInd w:val="0"/>
        <w:jc w:val="right"/>
      </w:pPr>
      <w:r w:rsidRPr="007032A4">
        <w:lastRenderedPageBreak/>
        <w:t>Таблица</w:t>
      </w:r>
      <w:r w:rsidR="000305BF" w:rsidRPr="007032A4">
        <w:t xml:space="preserve"> 4</w:t>
      </w:r>
      <w:r w:rsidR="000F79C3">
        <w:t>0</w:t>
      </w:r>
      <w:r w:rsidR="000305BF" w:rsidRPr="007032A4">
        <w:t>.</w:t>
      </w:r>
    </w:p>
    <w:p w:rsidR="00EA4AA9" w:rsidRPr="007032A4" w:rsidRDefault="000305BF" w:rsidP="00EA4AA9">
      <w:pPr>
        <w:widowControl w:val="0"/>
        <w:autoSpaceDE w:val="0"/>
        <w:autoSpaceDN w:val="0"/>
        <w:adjustRightInd w:val="0"/>
        <w:jc w:val="center"/>
      </w:pPr>
      <w:r w:rsidRPr="007032A4">
        <w:t>Целевые индикаторы</w:t>
      </w:r>
      <w:r w:rsidR="00EA4AA9" w:rsidRPr="007032A4">
        <w:t xml:space="preserve"> </w:t>
      </w:r>
      <w:r w:rsidRPr="007032A4">
        <w:t xml:space="preserve">социально-экономического </w:t>
      </w:r>
      <w:r w:rsidR="00EA4AA9" w:rsidRPr="007032A4">
        <w:t xml:space="preserve">развития </w:t>
      </w:r>
      <w:r w:rsidRPr="007032A4">
        <w:t>Гатчинского муниципального района и МО «Город Гатчина»</w:t>
      </w:r>
    </w:p>
    <w:tbl>
      <w:tblPr>
        <w:tblStyle w:val="afe"/>
        <w:tblW w:w="5000" w:type="pct"/>
        <w:tblLayout w:type="fixed"/>
        <w:tblLook w:val="0000"/>
      </w:tblPr>
      <w:tblGrid>
        <w:gridCol w:w="668"/>
        <w:gridCol w:w="4214"/>
        <w:gridCol w:w="2659"/>
        <w:gridCol w:w="1038"/>
        <w:gridCol w:w="1242"/>
        <w:gridCol w:w="1242"/>
        <w:gridCol w:w="1242"/>
        <w:gridCol w:w="1242"/>
        <w:gridCol w:w="1239"/>
      </w:tblGrid>
      <w:tr w:rsidR="00AB56AF" w:rsidRPr="007032A4" w:rsidTr="00AB56AF">
        <w:trPr>
          <w:tblHeader/>
        </w:trPr>
        <w:tc>
          <w:tcPr>
            <w:tcW w:w="226" w:type="pct"/>
            <w:vMerge w:val="restar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w:t>
            </w:r>
          </w:p>
        </w:tc>
        <w:tc>
          <w:tcPr>
            <w:tcW w:w="1425" w:type="pct"/>
            <w:vMerge w:val="restar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Приоритетное направление, показатели</w:t>
            </w:r>
          </w:p>
        </w:tc>
        <w:tc>
          <w:tcPr>
            <w:tcW w:w="899" w:type="pct"/>
            <w:vMerge w:val="restar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Единица измерения</w:t>
            </w:r>
          </w:p>
        </w:tc>
        <w:tc>
          <w:tcPr>
            <w:tcW w:w="1191" w:type="pct"/>
            <w:gridSpan w:val="3"/>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Достигнутый уровень</w:t>
            </w:r>
          </w:p>
        </w:tc>
        <w:tc>
          <w:tcPr>
            <w:tcW w:w="1259" w:type="pct"/>
            <w:gridSpan w:val="3"/>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Целевые ориентиры</w:t>
            </w:r>
          </w:p>
        </w:tc>
      </w:tr>
      <w:tr w:rsidR="00AB56AF" w:rsidRPr="007032A4" w:rsidTr="00AB56AF">
        <w:trPr>
          <w:tblHeader/>
        </w:trPr>
        <w:tc>
          <w:tcPr>
            <w:tcW w:w="226" w:type="pct"/>
            <w:vMerge/>
            <w:vAlign w:val="center"/>
          </w:tcPr>
          <w:p w:rsidR="00B064D1" w:rsidRPr="007032A4" w:rsidRDefault="00B064D1" w:rsidP="00B064D1">
            <w:pPr>
              <w:widowControl w:val="0"/>
              <w:autoSpaceDE w:val="0"/>
              <w:autoSpaceDN w:val="0"/>
              <w:adjustRightInd w:val="0"/>
              <w:jc w:val="center"/>
              <w:rPr>
                <w:sz w:val="22"/>
                <w:szCs w:val="22"/>
              </w:rPr>
            </w:pPr>
          </w:p>
        </w:tc>
        <w:tc>
          <w:tcPr>
            <w:tcW w:w="1425" w:type="pct"/>
            <w:vMerge/>
            <w:vAlign w:val="center"/>
          </w:tcPr>
          <w:p w:rsidR="00B064D1" w:rsidRPr="007032A4" w:rsidRDefault="00B064D1" w:rsidP="00B064D1">
            <w:pPr>
              <w:widowControl w:val="0"/>
              <w:autoSpaceDE w:val="0"/>
              <w:autoSpaceDN w:val="0"/>
              <w:adjustRightInd w:val="0"/>
              <w:jc w:val="center"/>
              <w:rPr>
                <w:sz w:val="22"/>
                <w:szCs w:val="22"/>
              </w:rPr>
            </w:pPr>
          </w:p>
        </w:tc>
        <w:tc>
          <w:tcPr>
            <w:tcW w:w="899" w:type="pct"/>
            <w:vMerge/>
            <w:vAlign w:val="center"/>
          </w:tcPr>
          <w:p w:rsidR="00B064D1" w:rsidRPr="007032A4" w:rsidRDefault="00B064D1" w:rsidP="00B064D1">
            <w:pPr>
              <w:widowControl w:val="0"/>
              <w:autoSpaceDE w:val="0"/>
              <w:autoSpaceDN w:val="0"/>
              <w:adjustRightInd w:val="0"/>
              <w:jc w:val="center"/>
              <w:rPr>
                <w:sz w:val="22"/>
                <w:szCs w:val="22"/>
              </w:rPr>
            </w:pP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2012 г.</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2013 г.</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2014 г.</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2016 г.</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2020 г.</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2030 г.</w:t>
            </w:r>
          </w:p>
        </w:tc>
      </w:tr>
      <w:tr w:rsidR="00AB56AF" w:rsidRPr="007032A4" w:rsidTr="00AB56AF">
        <w:tc>
          <w:tcPr>
            <w:tcW w:w="226"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1</w:t>
            </w:r>
          </w:p>
        </w:tc>
        <w:tc>
          <w:tcPr>
            <w:tcW w:w="1425"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Общие индикаторы развития</w:t>
            </w:r>
          </w:p>
        </w:tc>
        <w:tc>
          <w:tcPr>
            <w:tcW w:w="899"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r>
      <w:tr w:rsidR="00AB56AF" w:rsidRPr="007032A4" w:rsidTr="00AB56AF">
        <w:tc>
          <w:tcPr>
            <w:tcW w:w="226" w:type="pct"/>
            <w:vMerge w:val="restart"/>
          </w:tcPr>
          <w:p w:rsidR="00B064D1" w:rsidRPr="007032A4" w:rsidRDefault="00B064D1" w:rsidP="00B064D1">
            <w:pPr>
              <w:widowControl w:val="0"/>
              <w:autoSpaceDE w:val="0"/>
              <w:autoSpaceDN w:val="0"/>
              <w:adjustRightInd w:val="0"/>
              <w:jc w:val="center"/>
              <w:rPr>
                <w:sz w:val="22"/>
                <w:szCs w:val="22"/>
              </w:rPr>
            </w:pPr>
            <w:r w:rsidRPr="007032A4">
              <w:rPr>
                <w:sz w:val="22"/>
                <w:szCs w:val="22"/>
              </w:rPr>
              <w:t>1.1</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b/>
                <w:sz w:val="22"/>
                <w:szCs w:val="22"/>
              </w:rPr>
              <w:t>Численность постоянного населения</w:t>
            </w:r>
            <w:r w:rsidRPr="007032A4">
              <w:rPr>
                <w:sz w:val="22"/>
                <w:szCs w:val="22"/>
              </w:rPr>
              <w:t xml:space="preserve"> Гатчинского муниципального района</w:t>
            </w:r>
          </w:p>
        </w:tc>
        <w:tc>
          <w:tcPr>
            <w:tcW w:w="899" w:type="pct"/>
            <w:vMerge w:val="restart"/>
            <w:vAlign w:val="center"/>
          </w:tcPr>
          <w:p w:rsidR="00B064D1" w:rsidRPr="007032A4" w:rsidRDefault="001B119A" w:rsidP="00B064D1">
            <w:pPr>
              <w:widowControl w:val="0"/>
              <w:autoSpaceDE w:val="0"/>
              <w:autoSpaceDN w:val="0"/>
              <w:adjustRightInd w:val="0"/>
              <w:jc w:val="center"/>
              <w:rPr>
                <w:sz w:val="22"/>
                <w:szCs w:val="22"/>
              </w:rPr>
            </w:pPr>
            <w:r w:rsidRPr="007032A4">
              <w:rPr>
                <w:sz w:val="22"/>
                <w:szCs w:val="22"/>
              </w:rPr>
              <w:t>тысяч человек</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241,6</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244,4</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246,2</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250,9</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261,1</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287,0</w:t>
            </w:r>
          </w:p>
        </w:tc>
      </w:tr>
      <w:tr w:rsidR="00AB56AF" w:rsidRPr="007032A4" w:rsidTr="00AB56AF">
        <w:tc>
          <w:tcPr>
            <w:tcW w:w="226" w:type="pct"/>
            <w:vMerge/>
          </w:tcPr>
          <w:p w:rsidR="00B064D1" w:rsidRPr="007032A4" w:rsidRDefault="00B064D1" w:rsidP="00B064D1">
            <w:pPr>
              <w:widowControl w:val="0"/>
              <w:autoSpaceDE w:val="0"/>
              <w:autoSpaceDN w:val="0"/>
              <w:adjustRightInd w:val="0"/>
              <w:jc w:val="center"/>
              <w:rPr>
                <w:sz w:val="22"/>
                <w:szCs w:val="22"/>
              </w:rPr>
            </w:pP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B064D1" w:rsidRPr="007032A4" w:rsidRDefault="00B064D1" w:rsidP="00B064D1">
            <w:pPr>
              <w:widowControl w:val="0"/>
              <w:autoSpaceDE w:val="0"/>
              <w:autoSpaceDN w:val="0"/>
              <w:adjustRightInd w:val="0"/>
              <w:jc w:val="center"/>
              <w:rPr>
                <w:sz w:val="22"/>
                <w:szCs w:val="22"/>
              </w:rPr>
            </w:pP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95,4</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95,9</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96,3</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97,6</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100,3</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106,8</w:t>
            </w:r>
          </w:p>
        </w:tc>
      </w:tr>
      <w:tr w:rsidR="00AB56AF" w:rsidRPr="007032A4" w:rsidTr="00AB56AF">
        <w:tc>
          <w:tcPr>
            <w:tcW w:w="226" w:type="pct"/>
            <w:vMerge w:val="restart"/>
          </w:tcPr>
          <w:p w:rsidR="00B064D1" w:rsidRPr="007032A4" w:rsidRDefault="00B064D1" w:rsidP="00B064D1">
            <w:pPr>
              <w:widowControl w:val="0"/>
              <w:autoSpaceDE w:val="0"/>
              <w:autoSpaceDN w:val="0"/>
              <w:adjustRightInd w:val="0"/>
              <w:jc w:val="center"/>
              <w:rPr>
                <w:sz w:val="22"/>
                <w:szCs w:val="22"/>
              </w:rPr>
            </w:pPr>
            <w:r w:rsidRPr="007032A4">
              <w:rPr>
                <w:sz w:val="22"/>
                <w:szCs w:val="22"/>
              </w:rPr>
              <w:t>1.2</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Численность </w:t>
            </w:r>
            <w:r w:rsidRPr="007032A4">
              <w:rPr>
                <w:b/>
                <w:sz w:val="22"/>
                <w:szCs w:val="22"/>
              </w:rPr>
              <w:t>работающих в экономике</w:t>
            </w:r>
            <w:r w:rsidRPr="007032A4">
              <w:rPr>
                <w:sz w:val="22"/>
                <w:szCs w:val="22"/>
              </w:rPr>
              <w:t xml:space="preserve"> по крупным и средним предприятиям Гатчинского муниципального района</w:t>
            </w:r>
          </w:p>
        </w:tc>
        <w:tc>
          <w:tcPr>
            <w:tcW w:w="899" w:type="pct"/>
            <w:vMerge w:val="restart"/>
            <w:vAlign w:val="center"/>
          </w:tcPr>
          <w:p w:rsidR="00B064D1" w:rsidRPr="007032A4" w:rsidRDefault="001B119A" w:rsidP="00B064D1">
            <w:pPr>
              <w:widowControl w:val="0"/>
              <w:autoSpaceDE w:val="0"/>
              <w:autoSpaceDN w:val="0"/>
              <w:adjustRightInd w:val="0"/>
              <w:jc w:val="center"/>
              <w:rPr>
                <w:sz w:val="22"/>
                <w:szCs w:val="22"/>
              </w:rPr>
            </w:pPr>
            <w:r w:rsidRPr="007032A4">
              <w:rPr>
                <w:sz w:val="22"/>
                <w:szCs w:val="22"/>
              </w:rPr>
              <w:t>тысяч человек</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85,0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85,1</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85,2</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86,0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110,0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200,0</w:t>
            </w:r>
          </w:p>
        </w:tc>
      </w:tr>
      <w:tr w:rsidR="00AB56AF" w:rsidRPr="007032A4" w:rsidTr="00AB56AF">
        <w:tc>
          <w:tcPr>
            <w:tcW w:w="226" w:type="pct"/>
            <w:vMerge/>
          </w:tcPr>
          <w:p w:rsidR="00B064D1" w:rsidRPr="007032A4" w:rsidRDefault="00B064D1" w:rsidP="00B064D1">
            <w:pPr>
              <w:widowControl w:val="0"/>
              <w:autoSpaceDE w:val="0"/>
              <w:autoSpaceDN w:val="0"/>
              <w:adjustRightInd w:val="0"/>
              <w:jc w:val="center"/>
              <w:rPr>
                <w:sz w:val="22"/>
                <w:szCs w:val="22"/>
              </w:rPr>
            </w:pP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B064D1" w:rsidRPr="007032A4" w:rsidRDefault="00B064D1" w:rsidP="00B064D1">
            <w:pPr>
              <w:widowControl w:val="0"/>
              <w:autoSpaceDE w:val="0"/>
              <w:autoSpaceDN w:val="0"/>
              <w:adjustRightInd w:val="0"/>
              <w:jc w:val="center"/>
              <w:rPr>
                <w:sz w:val="22"/>
                <w:szCs w:val="22"/>
              </w:rPr>
            </w:pP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45,8</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46,0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46,3</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47,0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55,0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65,0</w:t>
            </w:r>
          </w:p>
        </w:tc>
      </w:tr>
      <w:tr w:rsidR="00AB56AF" w:rsidRPr="007032A4" w:rsidTr="00AB56AF">
        <w:tc>
          <w:tcPr>
            <w:tcW w:w="226"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1.3</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Уровень </w:t>
            </w:r>
            <w:r w:rsidRPr="007032A4">
              <w:rPr>
                <w:b/>
                <w:sz w:val="22"/>
                <w:szCs w:val="22"/>
              </w:rPr>
              <w:t>среднемесячной заработной платы</w:t>
            </w:r>
            <w:r w:rsidRPr="007032A4">
              <w:rPr>
                <w:sz w:val="22"/>
                <w:szCs w:val="22"/>
              </w:rPr>
              <w:t xml:space="preserve"> по крупным и средним предприятиям Гатчинского муниципального района</w:t>
            </w:r>
          </w:p>
        </w:tc>
        <w:tc>
          <w:tcPr>
            <w:tcW w:w="89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в процентах от среднего уровня по Ленинградской области</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102,3</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94,0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90,2</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95,0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105,0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110,0</w:t>
            </w:r>
          </w:p>
        </w:tc>
      </w:tr>
      <w:tr w:rsidR="00AB56AF" w:rsidRPr="007032A4" w:rsidTr="00AB56AF">
        <w:tc>
          <w:tcPr>
            <w:tcW w:w="226"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1.4</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Объем </w:t>
            </w:r>
            <w:r w:rsidRPr="007032A4">
              <w:rPr>
                <w:b/>
                <w:sz w:val="22"/>
                <w:szCs w:val="22"/>
              </w:rPr>
              <w:t>инвестиций</w:t>
            </w:r>
            <w:r w:rsidRPr="007032A4">
              <w:rPr>
                <w:sz w:val="22"/>
                <w:szCs w:val="22"/>
              </w:rPr>
              <w:t xml:space="preserve"> в экономику Гатчинского муниципального района</w:t>
            </w:r>
          </w:p>
        </w:tc>
        <w:tc>
          <w:tcPr>
            <w:tcW w:w="89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в расчете на душу населения – в процентах от аналогичного показателя по Ленинградской области</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117,0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17,7</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22,9</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25,0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80,0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100,0</w:t>
            </w:r>
          </w:p>
        </w:tc>
      </w:tr>
      <w:tr w:rsidR="00AB56AF" w:rsidRPr="007032A4" w:rsidTr="00AB56AF">
        <w:tc>
          <w:tcPr>
            <w:tcW w:w="226"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2</w:t>
            </w:r>
          </w:p>
        </w:tc>
        <w:tc>
          <w:tcPr>
            <w:tcW w:w="1425"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«ЭКОНОМИКА»</w:t>
            </w:r>
          </w:p>
        </w:tc>
        <w:tc>
          <w:tcPr>
            <w:tcW w:w="89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r>
      <w:tr w:rsidR="00AB56AF" w:rsidRPr="007032A4" w:rsidTr="00AB56AF">
        <w:tc>
          <w:tcPr>
            <w:tcW w:w="226"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2.1</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Динамика </w:t>
            </w:r>
            <w:r w:rsidRPr="007032A4">
              <w:rPr>
                <w:b/>
                <w:sz w:val="22"/>
                <w:szCs w:val="22"/>
              </w:rPr>
              <w:t>объема отгруженных товаров</w:t>
            </w:r>
            <w:r w:rsidRPr="007032A4">
              <w:rPr>
                <w:sz w:val="22"/>
                <w:szCs w:val="22"/>
              </w:rPr>
              <w:t xml:space="preserve"> </w:t>
            </w:r>
            <w:r w:rsidRPr="007032A4">
              <w:rPr>
                <w:b/>
                <w:sz w:val="22"/>
                <w:szCs w:val="22"/>
              </w:rPr>
              <w:t>собственного производства</w:t>
            </w:r>
            <w:r w:rsidRPr="007032A4">
              <w:rPr>
                <w:sz w:val="22"/>
                <w:szCs w:val="22"/>
              </w:rPr>
              <w:t>, выполненных работ и услуг по организациям, не относящимся к субъектам малого предпринимательства</w:t>
            </w:r>
          </w:p>
        </w:tc>
        <w:tc>
          <w:tcPr>
            <w:tcW w:w="899" w:type="pct"/>
            <w:vAlign w:val="center"/>
          </w:tcPr>
          <w:p w:rsidR="00B064D1" w:rsidRPr="007032A4" w:rsidRDefault="001B119A" w:rsidP="00B064D1">
            <w:pPr>
              <w:widowControl w:val="0"/>
              <w:autoSpaceDE w:val="0"/>
              <w:autoSpaceDN w:val="0"/>
              <w:adjustRightInd w:val="0"/>
              <w:jc w:val="center"/>
              <w:rPr>
                <w:sz w:val="22"/>
                <w:szCs w:val="22"/>
              </w:rPr>
            </w:pPr>
            <w:r w:rsidRPr="007032A4">
              <w:rPr>
                <w:sz w:val="22"/>
                <w:szCs w:val="22"/>
              </w:rPr>
              <w:t>с</w:t>
            </w:r>
            <w:r w:rsidR="00B064D1" w:rsidRPr="007032A4">
              <w:rPr>
                <w:sz w:val="22"/>
                <w:szCs w:val="22"/>
              </w:rPr>
              <w:t>реднегодовой индекс, в процентах</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112,6</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113,6</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106,8</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110,0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115,0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115,0</w:t>
            </w:r>
          </w:p>
        </w:tc>
      </w:tr>
      <w:tr w:rsidR="00AB56AF" w:rsidRPr="007032A4" w:rsidTr="00AB56AF">
        <w:tc>
          <w:tcPr>
            <w:tcW w:w="226" w:type="pct"/>
            <w:vMerge w:val="restart"/>
          </w:tcPr>
          <w:p w:rsidR="00B064D1" w:rsidRPr="007032A4" w:rsidRDefault="00B064D1" w:rsidP="00763855">
            <w:pPr>
              <w:widowControl w:val="0"/>
              <w:autoSpaceDE w:val="0"/>
              <w:autoSpaceDN w:val="0"/>
              <w:adjustRightInd w:val="0"/>
              <w:jc w:val="center"/>
              <w:rPr>
                <w:sz w:val="22"/>
                <w:szCs w:val="22"/>
              </w:rPr>
            </w:pPr>
            <w:r w:rsidRPr="007032A4">
              <w:rPr>
                <w:sz w:val="22"/>
                <w:szCs w:val="22"/>
              </w:rPr>
              <w:t>2.</w:t>
            </w:r>
            <w:r w:rsidR="00763855" w:rsidRPr="007032A4">
              <w:rPr>
                <w:sz w:val="22"/>
                <w:szCs w:val="22"/>
              </w:rPr>
              <w:t>2</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b/>
                <w:sz w:val="22"/>
                <w:szCs w:val="22"/>
              </w:rPr>
              <w:t>Туристский поток</w:t>
            </w:r>
            <w:r w:rsidRPr="007032A4">
              <w:rPr>
                <w:sz w:val="22"/>
                <w:szCs w:val="22"/>
              </w:rPr>
              <w:t xml:space="preserve">, всего </w:t>
            </w:r>
          </w:p>
        </w:tc>
        <w:tc>
          <w:tcPr>
            <w:tcW w:w="899" w:type="pct"/>
            <w:vMerge w:val="restart"/>
            <w:vAlign w:val="center"/>
          </w:tcPr>
          <w:p w:rsidR="00B064D1" w:rsidRPr="007032A4" w:rsidRDefault="00B064D1" w:rsidP="001B119A">
            <w:pPr>
              <w:widowControl w:val="0"/>
              <w:autoSpaceDE w:val="0"/>
              <w:autoSpaceDN w:val="0"/>
              <w:adjustRightInd w:val="0"/>
              <w:jc w:val="center"/>
              <w:rPr>
                <w:sz w:val="22"/>
                <w:szCs w:val="22"/>
              </w:rPr>
            </w:pPr>
            <w:r w:rsidRPr="007032A4">
              <w:rPr>
                <w:sz w:val="22"/>
                <w:szCs w:val="22"/>
              </w:rPr>
              <w:t>тыс</w:t>
            </w:r>
            <w:r w:rsidR="001B119A" w:rsidRPr="007032A4">
              <w:rPr>
                <w:sz w:val="22"/>
                <w:szCs w:val="22"/>
              </w:rPr>
              <w:t>яч</w:t>
            </w:r>
            <w:r w:rsidRPr="007032A4">
              <w:rPr>
                <w:sz w:val="22"/>
                <w:szCs w:val="22"/>
              </w:rPr>
              <w:t xml:space="preserve"> чел</w:t>
            </w:r>
            <w:r w:rsidR="001B119A" w:rsidRPr="007032A4">
              <w:rPr>
                <w:sz w:val="22"/>
                <w:szCs w:val="22"/>
              </w:rPr>
              <w:t>овек</w:t>
            </w:r>
            <w:r w:rsidRPr="007032A4">
              <w:rPr>
                <w:sz w:val="22"/>
                <w:szCs w:val="22"/>
              </w:rPr>
              <w:t xml:space="preserve"> в год</w:t>
            </w:r>
          </w:p>
        </w:tc>
        <w:tc>
          <w:tcPr>
            <w:tcW w:w="1191" w:type="pct"/>
            <w:gridSpan w:val="3"/>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200-220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220-260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330 - 350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380 - 570</w:t>
            </w:r>
          </w:p>
        </w:tc>
      </w:tr>
      <w:tr w:rsidR="00AB56AF" w:rsidRPr="007032A4" w:rsidTr="00AB56AF">
        <w:tc>
          <w:tcPr>
            <w:tcW w:w="226" w:type="pct"/>
            <w:vMerge/>
          </w:tcPr>
          <w:p w:rsidR="00B064D1" w:rsidRPr="007032A4" w:rsidRDefault="00B064D1" w:rsidP="00B064D1">
            <w:pPr>
              <w:widowControl w:val="0"/>
              <w:autoSpaceDE w:val="0"/>
              <w:autoSpaceDN w:val="0"/>
              <w:adjustRightInd w:val="0"/>
              <w:jc w:val="center"/>
              <w:rPr>
                <w:sz w:val="22"/>
                <w:szCs w:val="22"/>
              </w:rPr>
            </w:pP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B064D1" w:rsidRPr="007032A4" w:rsidRDefault="00B064D1" w:rsidP="00B064D1">
            <w:pPr>
              <w:widowControl w:val="0"/>
              <w:autoSpaceDE w:val="0"/>
              <w:autoSpaceDN w:val="0"/>
              <w:adjustRightInd w:val="0"/>
              <w:jc w:val="center"/>
              <w:rPr>
                <w:sz w:val="22"/>
                <w:szCs w:val="22"/>
              </w:rPr>
            </w:pPr>
          </w:p>
        </w:tc>
        <w:tc>
          <w:tcPr>
            <w:tcW w:w="1191" w:type="pct"/>
            <w:gridSpan w:val="3"/>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180-200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200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280 - 300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350 - 500</w:t>
            </w:r>
          </w:p>
        </w:tc>
      </w:tr>
      <w:tr w:rsidR="00AB56AF" w:rsidRPr="007032A4" w:rsidTr="00AB56AF">
        <w:tc>
          <w:tcPr>
            <w:tcW w:w="226" w:type="pct"/>
          </w:tcPr>
          <w:p w:rsidR="00B064D1" w:rsidRPr="007032A4" w:rsidRDefault="00B064D1" w:rsidP="00763855">
            <w:pPr>
              <w:widowControl w:val="0"/>
              <w:autoSpaceDE w:val="0"/>
              <w:autoSpaceDN w:val="0"/>
              <w:adjustRightInd w:val="0"/>
              <w:jc w:val="center"/>
              <w:rPr>
                <w:sz w:val="22"/>
                <w:szCs w:val="22"/>
              </w:rPr>
            </w:pPr>
            <w:r w:rsidRPr="007032A4">
              <w:rPr>
                <w:sz w:val="22"/>
                <w:szCs w:val="22"/>
              </w:rPr>
              <w:t>2.</w:t>
            </w:r>
            <w:r w:rsidR="00763855" w:rsidRPr="007032A4">
              <w:rPr>
                <w:sz w:val="22"/>
                <w:szCs w:val="22"/>
              </w:rPr>
              <w:t>3</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Динамика </w:t>
            </w:r>
            <w:r w:rsidRPr="007032A4">
              <w:rPr>
                <w:b/>
                <w:sz w:val="22"/>
                <w:szCs w:val="22"/>
              </w:rPr>
              <w:t>объема отгруженных товаров</w:t>
            </w:r>
            <w:r w:rsidRPr="007032A4">
              <w:rPr>
                <w:sz w:val="22"/>
                <w:szCs w:val="22"/>
              </w:rPr>
              <w:t xml:space="preserve"> собственного производства, выполненных работ и услуг </w:t>
            </w:r>
            <w:r w:rsidRPr="007032A4">
              <w:rPr>
                <w:b/>
                <w:sz w:val="22"/>
                <w:szCs w:val="22"/>
              </w:rPr>
              <w:t>малыми предприятиями</w:t>
            </w:r>
          </w:p>
        </w:tc>
        <w:tc>
          <w:tcPr>
            <w:tcW w:w="899" w:type="pct"/>
            <w:vAlign w:val="center"/>
          </w:tcPr>
          <w:p w:rsidR="00B064D1" w:rsidRPr="007032A4" w:rsidRDefault="001B119A" w:rsidP="00B064D1">
            <w:pPr>
              <w:widowControl w:val="0"/>
              <w:autoSpaceDE w:val="0"/>
              <w:autoSpaceDN w:val="0"/>
              <w:adjustRightInd w:val="0"/>
              <w:jc w:val="center"/>
              <w:rPr>
                <w:sz w:val="22"/>
                <w:szCs w:val="22"/>
              </w:rPr>
            </w:pPr>
            <w:r w:rsidRPr="007032A4">
              <w:rPr>
                <w:sz w:val="22"/>
                <w:szCs w:val="22"/>
              </w:rPr>
              <w:t>с</w:t>
            </w:r>
            <w:r w:rsidR="00B064D1" w:rsidRPr="007032A4">
              <w:rPr>
                <w:sz w:val="22"/>
                <w:szCs w:val="22"/>
              </w:rPr>
              <w:t>реднегодовой индекс, в процентах</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74,4</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123,6</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н/д</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110,0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120,0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150,0</w:t>
            </w:r>
          </w:p>
        </w:tc>
      </w:tr>
      <w:tr w:rsidR="00AB56AF" w:rsidRPr="007032A4" w:rsidTr="00AB56AF">
        <w:tc>
          <w:tcPr>
            <w:tcW w:w="226" w:type="pct"/>
          </w:tcPr>
          <w:p w:rsidR="00B064D1" w:rsidRPr="007032A4" w:rsidRDefault="00B064D1" w:rsidP="00763855">
            <w:pPr>
              <w:widowControl w:val="0"/>
              <w:autoSpaceDE w:val="0"/>
              <w:autoSpaceDN w:val="0"/>
              <w:adjustRightInd w:val="0"/>
              <w:jc w:val="center"/>
              <w:rPr>
                <w:sz w:val="22"/>
                <w:szCs w:val="22"/>
              </w:rPr>
            </w:pPr>
            <w:r w:rsidRPr="007032A4">
              <w:rPr>
                <w:sz w:val="22"/>
                <w:szCs w:val="22"/>
              </w:rPr>
              <w:t>2.</w:t>
            </w:r>
            <w:r w:rsidR="00763855" w:rsidRPr="007032A4">
              <w:rPr>
                <w:sz w:val="22"/>
                <w:szCs w:val="22"/>
              </w:rPr>
              <w:t>4</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Динамика среднесписочной </w:t>
            </w:r>
            <w:r w:rsidRPr="007032A4">
              <w:rPr>
                <w:b/>
                <w:sz w:val="22"/>
                <w:szCs w:val="22"/>
              </w:rPr>
              <w:t>численности работников малых предприятий</w:t>
            </w:r>
          </w:p>
        </w:tc>
        <w:tc>
          <w:tcPr>
            <w:tcW w:w="899" w:type="pct"/>
            <w:vAlign w:val="center"/>
          </w:tcPr>
          <w:p w:rsidR="00B064D1" w:rsidRPr="007032A4" w:rsidRDefault="001B119A" w:rsidP="00B064D1">
            <w:pPr>
              <w:widowControl w:val="0"/>
              <w:autoSpaceDE w:val="0"/>
              <w:autoSpaceDN w:val="0"/>
              <w:adjustRightInd w:val="0"/>
              <w:jc w:val="center"/>
              <w:rPr>
                <w:sz w:val="22"/>
                <w:szCs w:val="22"/>
              </w:rPr>
            </w:pPr>
            <w:r w:rsidRPr="007032A4">
              <w:rPr>
                <w:sz w:val="22"/>
                <w:szCs w:val="22"/>
              </w:rPr>
              <w:t>с</w:t>
            </w:r>
            <w:r w:rsidR="00B064D1" w:rsidRPr="007032A4">
              <w:rPr>
                <w:sz w:val="22"/>
                <w:szCs w:val="22"/>
              </w:rPr>
              <w:t>реднегодовой индекс, в процентах</w:t>
            </w:r>
          </w:p>
        </w:tc>
        <w:tc>
          <w:tcPr>
            <w:tcW w:w="351"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48,0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93,9</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н/д</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105,0</w:t>
            </w:r>
          </w:p>
        </w:tc>
        <w:tc>
          <w:tcPr>
            <w:tcW w:w="420"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105,0</w:t>
            </w:r>
          </w:p>
        </w:tc>
        <w:tc>
          <w:tcPr>
            <w:tcW w:w="419" w:type="pct"/>
            <w:vAlign w:val="center"/>
          </w:tcPr>
          <w:p w:rsidR="00B064D1" w:rsidRPr="007032A4" w:rsidRDefault="00B064D1" w:rsidP="00B064D1">
            <w:pPr>
              <w:widowControl w:val="0"/>
              <w:autoSpaceDE w:val="0"/>
              <w:autoSpaceDN w:val="0"/>
              <w:adjustRightInd w:val="0"/>
              <w:jc w:val="center"/>
              <w:rPr>
                <w:sz w:val="22"/>
                <w:szCs w:val="22"/>
              </w:rPr>
            </w:pPr>
            <w:r w:rsidRPr="007032A4">
              <w:rPr>
                <w:sz w:val="22"/>
                <w:szCs w:val="22"/>
              </w:rPr>
              <w:t>110,0</w:t>
            </w:r>
          </w:p>
        </w:tc>
      </w:tr>
      <w:tr w:rsidR="00AB56AF" w:rsidRPr="007032A4" w:rsidTr="00AB56AF">
        <w:tc>
          <w:tcPr>
            <w:tcW w:w="226"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3</w:t>
            </w:r>
          </w:p>
        </w:tc>
        <w:tc>
          <w:tcPr>
            <w:tcW w:w="1425"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«ИНФРАСТРУКТУРА, ЖИЛИЩНО-КОММУНАЛЬНОЕ ХОЗЯЙСТВО»</w:t>
            </w:r>
          </w:p>
        </w:tc>
        <w:tc>
          <w:tcPr>
            <w:tcW w:w="89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r>
      <w:tr w:rsidR="00AB56AF" w:rsidRPr="007032A4" w:rsidTr="00AB56AF">
        <w:tblPrEx>
          <w:tblLook w:val="04A0"/>
        </w:tblPrEx>
        <w:tc>
          <w:tcPr>
            <w:tcW w:w="226" w:type="pct"/>
            <w:vMerge w:val="restart"/>
          </w:tcPr>
          <w:p w:rsidR="00AB56AF" w:rsidRPr="007032A4" w:rsidRDefault="00AB56AF" w:rsidP="00B064D1">
            <w:pPr>
              <w:widowControl w:val="0"/>
              <w:autoSpaceDE w:val="0"/>
              <w:autoSpaceDN w:val="0"/>
              <w:adjustRightInd w:val="0"/>
              <w:jc w:val="center"/>
              <w:rPr>
                <w:sz w:val="22"/>
                <w:szCs w:val="22"/>
              </w:rPr>
            </w:pPr>
            <w:r w:rsidRPr="007032A4">
              <w:rPr>
                <w:sz w:val="22"/>
                <w:szCs w:val="22"/>
              </w:rPr>
              <w:t>3.1</w:t>
            </w: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 xml:space="preserve">Уровень </w:t>
            </w:r>
            <w:r w:rsidRPr="007032A4">
              <w:rPr>
                <w:b/>
                <w:sz w:val="22"/>
                <w:szCs w:val="22"/>
              </w:rPr>
              <w:t xml:space="preserve">обеспеченности населения </w:t>
            </w:r>
            <w:r w:rsidRPr="007032A4">
              <w:rPr>
                <w:b/>
                <w:sz w:val="22"/>
                <w:szCs w:val="22"/>
              </w:rPr>
              <w:lastRenderedPageBreak/>
              <w:t>жилищным фондом</w:t>
            </w:r>
          </w:p>
        </w:tc>
        <w:tc>
          <w:tcPr>
            <w:tcW w:w="899" w:type="pct"/>
            <w:vMerge w:val="restar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lastRenderedPageBreak/>
              <w:t>кв.м/чел.</w:t>
            </w:r>
          </w:p>
        </w:tc>
        <w:tc>
          <w:tcPr>
            <w:tcW w:w="351"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28,9</w:t>
            </w:r>
          </w:p>
        </w:tc>
        <w:tc>
          <w:tcPr>
            <w:tcW w:w="420"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29,1</w:t>
            </w:r>
          </w:p>
        </w:tc>
        <w:tc>
          <w:tcPr>
            <w:tcW w:w="420"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29,3</w:t>
            </w:r>
          </w:p>
        </w:tc>
        <w:tc>
          <w:tcPr>
            <w:tcW w:w="420" w:type="pct"/>
            <w:vAlign w:val="center"/>
          </w:tcPr>
          <w:p w:rsidR="00AB56AF" w:rsidRPr="007032A4" w:rsidRDefault="00AB56AF" w:rsidP="00467874">
            <w:pPr>
              <w:widowControl w:val="0"/>
              <w:autoSpaceDE w:val="0"/>
              <w:autoSpaceDN w:val="0"/>
              <w:adjustRightInd w:val="0"/>
              <w:jc w:val="center"/>
              <w:rPr>
                <w:sz w:val="22"/>
                <w:szCs w:val="22"/>
                <w:lang w:val="en-US"/>
              </w:rPr>
            </w:pPr>
            <w:r w:rsidRPr="007032A4">
              <w:rPr>
                <w:sz w:val="22"/>
                <w:szCs w:val="22"/>
              </w:rPr>
              <w:t>28,</w:t>
            </w:r>
            <w:r w:rsidR="00467874" w:rsidRPr="007032A4">
              <w:rPr>
                <w:sz w:val="22"/>
                <w:szCs w:val="22"/>
                <w:lang w:val="en-US"/>
              </w:rPr>
              <w:t>2</w:t>
            </w:r>
          </w:p>
        </w:tc>
        <w:tc>
          <w:tcPr>
            <w:tcW w:w="420" w:type="pct"/>
          </w:tcPr>
          <w:p w:rsidR="00AB56AF" w:rsidRPr="007032A4" w:rsidRDefault="00467874" w:rsidP="00467874">
            <w:pPr>
              <w:widowControl w:val="0"/>
              <w:autoSpaceDE w:val="0"/>
              <w:autoSpaceDN w:val="0"/>
              <w:adjustRightInd w:val="0"/>
              <w:jc w:val="center"/>
              <w:rPr>
                <w:sz w:val="22"/>
                <w:szCs w:val="22"/>
                <w:lang w:val="en-US"/>
              </w:rPr>
            </w:pPr>
            <w:r w:rsidRPr="007032A4">
              <w:rPr>
                <w:sz w:val="22"/>
                <w:szCs w:val="22"/>
                <w:lang w:val="en-US"/>
              </w:rPr>
              <w:t>30</w:t>
            </w:r>
            <w:r w:rsidRPr="007032A4">
              <w:rPr>
                <w:sz w:val="22"/>
                <w:szCs w:val="22"/>
              </w:rPr>
              <w:t>,</w:t>
            </w:r>
            <w:r w:rsidRPr="007032A4">
              <w:rPr>
                <w:sz w:val="22"/>
                <w:szCs w:val="22"/>
                <w:lang w:val="en-US"/>
              </w:rPr>
              <w:t>0</w:t>
            </w:r>
          </w:p>
        </w:tc>
        <w:tc>
          <w:tcPr>
            <w:tcW w:w="419" w:type="pct"/>
          </w:tcPr>
          <w:p w:rsidR="00AB56AF" w:rsidRPr="007032A4" w:rsidRDefault="00467874" w:rsidP="00467874">
            <w:pPr>
              <w:widowControl w:val="0"/>
              <w:autoSpaceDE w:val="0"/>
              <w:autoSpaceDN w:val="0"/>
              <w:adjustRightInd w:val="0"/>
              <w:jc w:val="center"/>
              <w:rPr>
                <w:sz w:val="22"/>
                <w:szCs w:val="22"/>
              </w:rPr>
            </w:pPr>
            <w:r w:rsidRPr="007032A4">
              <w:rPr>
                <w:sz w:val="22"/>
                <w:szCs w:val="22"/>
                <w:lang w:val="en-US"/>
              </w:rPr>
              <w:t>32</w:t>
            </w:r>
            <w:r w:rsidRPr="007032A4">
              <w:rPr>
                <w:sz w:val="22"/>
                <w:szCs w:val="22"/>
              </w:rPr>
              <w:t>,</w:t>
            </w:r>
            <w:r w:rsidRPr="007032A4">
              <w:rPr>
                <w:sz w:val="22"/>
                <w:szCs w:val="22"/>
                <w:lang w:val="en-US"/>
              </w:rPr>
              <w:t>0</w:t>
            </w:r>
          </w:p>
        </w:tc>
      </w:tr>
      <w:tr w:rsidR="00AB56AF" w:rsidRPr="007032A4" w:rsidTr="00AB56AF">
        <w:tblPrEx>
          <w:tblLook w:val="04A0"/>
        </w:tblPrEx>
        <w:tc>
          <w:tcPr>
            <w:tcW w:w="226" w:type="pct"/>
            <w:vMerge/>
          </w:tcPr>
          <w:p w:rsidR="00AB56AF" w:rsidRPr="007032A4" w:rsidRDefault="00AB56AF" w:rsidP="00B064D1">
            <w:pPr>
              <w:widowControl w:val="0"/>
              <w:autoSpaceDE w:val="0"/>
              <w:autoSpaceDN w:val="0"/>
              <w:adjustRightInd w:val="0"/>
              <w:jc w:val="center"/>
              <w:rPr>
                <w:sz w:val="22"/>
                <w:szCs w:val="22"/>
              </w:rPr>
            </w:pP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AB56AF" w:rsidRPr="007032A4" w:rsidRDefault="00AB56AF" w:rsidP="00B064D1">
            <w:pPr>
              <w:widowControl w:val="0"/>
              <w:autoSpaceDE w:val="0"/>
              <w:autoSpaceDN w:val="0"/>
              <w:adjustRightInd w:val="0"/>
              <w:jc w:val="center"/>
              <w:rPr>
                <w:sz w:val="22"/>
                <w:szCs w:val="22"/>
              </w:rPr>
            </w:pPr>
          </w:p>
        </w:tc>
        <w:tc>
          <w:tcPr>
            <w:tcW w:w="351"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21,2</w:t>
            </w:r>
          </w:p>
        </w:tc>
        <w:tc>
          <w:tcPr>
            <w:tcW w:w="420"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20,95</w:t>
            </w:r>
          </w:p>
        </w:tc>
        <w:tc>
          <w:tcPr>
            <w:tcW w:w="420"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21,3</w:t>
            </w:r>
          </w:p>
        </w:tc>
        <w:tc>
          <w:tcPr>
            <w:tcW w:w="420" w:type="pc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21,38</w:t>
            </w:r>
          </w:p>
        </w:tc>
        <w:tc>
          <w:tcPr>
            <w:tcW w:w="420" w:type="pct"/>
          </w:tcPr>
          <w:p w:rsidR="00AB56AF" w:rsidRPr="007032A4" w:rsidRDefault="00467874" w:rsidP="00EB1B80">
            <w:pPr>
              <w:widowControl w:val="0"/>
              <w:autoSpaceDE w:val="0"/>
              <w:autoSpaceDN w:val="0"/>
              <w:adjustRightInd w:val="0"/>
              <w:jc w:val="center"/>
              <w:rPr>
                <w:sz w:val="22"/>
                <w:szCs w:val="22"/>
              </w:rPr>
            </w:pPr>
            <w:r w:rsidRPr="007032A4">
              <w:rPr>
                <w:sz w:val="22"/>
                <w:szCs w:val="22"/>
              </w:rPr>
              <w:t>2</w:t>
            </w:r>
            <w:r w:rsidR="00EB1B80" w:rsidRPr="007032A4">
              <w:rPr>
                <w:sz w:val="22"/>
                <w:szCs w:val="22"/>
              </w:rPr>
              <w:t>4</w:t>
            </w:r>
            <w:r w:rsidRPr="007032A4">
              <w:rPr>
                <w:sz w:val="22"/>
                <w:szCs w:val="22"/>
              </w:rPr>
              <w:t>,0</w:t>
            </w:r>
          </w:p>
        </w:tc>
        <w:tc>
          <w:tcPr>
            <w:tcW w:w="419" w:type="pct"/>
          </w:tcPr>
          <w:p w:rsidR="00AB56AF" w:rsidRPr="007032A4" w:rsidRDefault="00467874" w:rsidP="00B064D1">
            <w:pPr>
              <w:widowControl w:val="0"/>
              <w:autoSpaceDE w:val="0"/>
              <w:autoSpaceDN w:val="0"/>
              <w:adjustRightInd w:val="0"/>
              <w:jc w:val="center"/>
              <w:rPr>
                <w:sz w:val="22"/>
                <w:szCs w:val="22"/>
              </w:rPr>
            </w:pPr>
            <w:r w:rsidRPr="007032A4">
              <w:rPr>
                <w:sz w:val="22"/>
                <w:szCs w:val="22"/>
              </w:rPr>
              <w:t>26,0</w:t>
            </w:r>
          </w:p>
        </w:tc>
      </w:tr>
      <w:tr w:rsidR="00CE26CF" w:rsidRPr="007032A4" w:rsidTr="00467874">
        <w:tc>
          <w:tcPr>
            <w:tcW w:w="226" w:type="pct"/>
            <w:vMerge w:val="restart"/>
          </w:tcPr>
          <w:p w:rsidR="00CE26CF" w:rsidRPr="007032A4" w:rsidRDefault="00CE26CF" w:rsidP="00763855">
            <w:pPr>
              <w:widowControl w:val="0"/>
              <w:autoSpaceDE w:val="0"/>
              <w:autoSpaceDN w:val="0"/>
              <w:adjustRightInd w:val="0"/>
              <w:jc w:val="center"/>
              <w:rPr>
                <w:sz w:val="22"/>
                <w:szCs w:val="22"/>
              </w:rPr>
            </w:pPr>
            <w:r w:rsidRPr="007032A4">
              <w:rPr>
                <w:sz w:val="22"/>
                <w:szCs w:val="22"/>
              </w:rPr>
              <w:t>3.</w:t>
            </w:r>
            <w:r w:rsidR="00763855" w:rsidRPr="007032A4">
              <w:rPr>
                <w:sz w:val="22"/>
                <w:szCs w:val="22"/>
              </w:rPr>
              <w:t>2</w:t>
            </w:r>
          </w:p>
        </w:tc>
        <w:tc>
          <w:tcPr>
            <w:tcW w:w="1425" w:type="pct"/>
          </w:tcPr>
          <w:p w:rsidR="00CE26CF" w:rsidRPr="007032A4" w:rsidRDefault="00CE26CF" w:rsidP="00B064D1">
            <w:pPr>
              <w:widowControl w:val="0"/>
              <w:autoSpaceDE w:val="0"/>
              <w:autoSpaceDN w:val="0"/>
              <w:adjustRightInd w:val="0"/>
              <w:jc w:val="center"/>
              <w:rPr>
                <w:sz w:val="22"/>
                <w:szCs w:val="22"/>
              </w:rPr>
            </w:pPr>
            <w:r w:rsidRPr="007032A4">
              <w:rPr>
                <w:sz w:val="22"/>
                <w:szCs w:val="22"/>
              </w:rPr>
              <w:t xml:space="preserve">Количество </w:t>
            </w:r>
            <w:r w:rsidRPr="007032A4">
              <w:rPr>
                <w:b/>
                <w:sz w:val="22"/>
                <w:szCs w:val="22"/>
              </w:rPr>
              <w:t>молодых семей, улучивших жилищные условия</w:t>
            </w:r>
            <w:r w:rsidRPr="007032A4">
              <w:rPr>
                <w:sz w:val="22"/>
                <w:szCs w:val="22"/>
              </w:rPr>
              <w:t xml:space="preserve"> с использованием социальных выплат</w:t>
            </w:r>
          </w:p>
        </w:tc>
        <w:tc>
          <w:tcPr>
            <w:tcW w:w="899" w:type="pct"/>
            <w:vMerge w:val="restart"/>
            <w:vAlign w:val="center"/>
          </w:tcPr>
          <w:p w:rsidR="00CE26CF" w:rsidRPr="007032A4" w:rsidRDefault="00CE26CF" w:rsidP="00B064D1">
            <w:pPr>
              <w:widowControl w:val="0"/>
              <w:autoSpaceDE w:val="0"/>
              <w:autoSpaceDN w:val="0"/>
              <w:adjustRightInd w:val="0"/>
              <w:jc w:val="center"/>
              <w:rPr>
                <w:sz w:val="22"/>
                <w:szCs w:val="22"/>
              </w:rPr>
            </w:pPr>
            <w:r w:rsidRPr="007032A4">
              <w:rPr>
                <w:sz w:val="22"/>
                <w:szCs w:val="22"/>
              </w:rPr>
              <w:t>единиц</w:t>
            </w:r>
          </w:p>
        </w:tc>
        <w:tc>
          <w:tcPr>
            <w:tcW w:w="351"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113</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62</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29</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48</w:t>
            </w:r>
          </w:p>
        </w:tc>
        <w:tc>
          <w:tcPr>
            <w:tcW w:w="420" w:type="pct"/>
            <w:vAlign w:val="center"/>
          </w:tcPr>
          <w:p w:rsidR="00CE26CF" w:rsidRPr="007032A4" w:rsidRDefault="00467874" w:rsidP="00467874">
            <w:pPr>
              <w:widowControl w:val="0"/>
              <w:autoSpaceDE w:val="0"/>
              <w:autoSpaceDN w:val="0"/>
              <w:adjustRightInd w:val="0"/>
              <w:jc w:val="center"/>
              <w:rPr>
                <w:sz w:val="22"/>
                <w:szCs w:val="22"/>
              </w:rPr>
            </w:pPr>
            <w:r w:rsidRPr="007032A4">
              <w:rPr>
                <w:sz w:val="22"/>
                <w:szCs w:val="22"/>
              </w:rPr>
              <w:t>60</w:t>
            </w:r>
          </w:p>
        </w:tc>
        <w:tc>
          <w:tcPr>
            <w:tcW w:w="419" w:type="pct"/>
            <w:vAlign w:val="center"/>
          </w:tcPr>
          <w:p w:rsidR="00CE26CF" w:rsidRPr="007032A4" w:rsidRDefault="00467874" w:rsidP="00467874">
            <w:pPr>
              <w:widowControl w:val="0"/>
              <w:autoSpaceDE w:val="0"/>
              <w:autoSpaceDN w:val="0"/>
              <w:adjustRightInd w:val="0"/>
              <w:jc w:val="center"/>
              <w:rPr>
                <w:sz w:val="22"/>
                <w:szCs w:val="22"/>
              </w:rPr>
            </w:pPr>
            <w:r w:rsidRPr="007032A4">
              <w:rPr>
                <w:sz w:val="22"/>
                <w:szCs w:val="22"/>
              </w:rPr>
              <w:t>70</w:t>
            </w:r>
          </w:p>
        </w:tc>
      </w:tr>
      <w:tr w:rsidR="00CE26CF" w:rsidRPr="007032A4" w:rsidTr="00467874">
        <w:tc>
          <w:tcPr>
            <w:tcW w:w="226" w:type="pct"/>
            <w:vMerge/>
          </w:tcPr>
          <w:p w:rsidR="00CE26CF" w:rsidRPr="007032A4" w:rsidRDefault="00CE26CF" w:rsidP="00B064D1">
            <w:pPr>
              <w:widowControl w:val="0"/>
              <w:autoSpaceDE w:val="0"/>
              <w:autoSpaceDN w:val="0"/>
              <w:adjustRightInd w:val="0"/>
              <w:jc w:val="center"/>
              <w:rPr>
                <w:sz w:val="22"/>
                <w:szCs w:val="22"/>
              </w:rPr>
            </w:pPr>
          </w:p>
        </w:tc>
        <w:tc>
          <w:tcPr>
            <w:tcW w:w="1425" w:type="pct"/>
          </w:tcPr>
          <w:p w:rsidR="00CE26CF" w:rsidRPr="007032A4" w:rsidRDefault="00CE26CF"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CE26CF" w:rsidRPr="007032A4" w:rsidRDefault="00CE26CF" w:rsidP="00B064D1">
            <w:pPr>
              <w:widowControl w:val="0"/>
              <w:autoSpaceDE w:val="0"/>
              <w:autoSpaceDN w:val="0"/>
              <w:adjustRightInd w:val="0"/>
              <w:jc w:val="center"/>
              <w:rPr>
                <w:sz w:val="22"/>
                <w:szCs w:val="22"/>
              </w:rPr>
            </w:pPr>
          </w:p>
        </w:tc>
        <w:tc>
          <w:tcPr>
            <w:tcW w:w="351"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47</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23</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16</w:t>
            </w:r>
          </w:p>
        </w:tc>
        <w:tc>
          <w:tcPr>
            <w:tcW w:w="420" w:type="pct"/>
            <w:vAlign w:val="center"/>
          </w:tcPr>
          <w:p w:rsidR="00CE26CF" w:rsidRPr="007032A4" w:rsidRDefault="00CE26CF" w:rsidP="00467874">
            <w:pPr>
              <w:widowControl w:val="0"/>
              <w:autoSpaceDE w:val="0"/>
              <w:autoSpaceDN w:val="0"/>
              <w:adjustRightInd w:val="0"/>
              <w:jc w:val="center"/>
              <w:rPr>
                <w:sz w:val="22"/>
                <w:szCs w:val="22"/>
              </w:rPr>
            </w:pPr>
            <w:r w:rsidRPr="007032A4">
              <w:rPr>
                <w:sz w:val="22"/>
                <w:szCs w:val="22"/>
              </w:rPr>
              <w:t>20</w:t>
            </w:r>
          </w:p>
        </w:tc>
        <w:tc>
          <w:tcPr>
            <w:tcW w:w="420" w:type="pct"/>
            <w:vAlign w:val="center"/>
          </w:tcPr>
          <w:p w:rsidR="00CE26CF" w:rsidRPr="007032A4" w:rsidRDefault="00467874" w:rsidP="00467874">
            <w:pPr>
              <w:widowControl w:val="0"/>
              <w:autoSpaceDE w:val="0"/>
              <w:autoSpaceDN w:val="0"/>
              <w:adjustRightInd w:val="0"/>
              <w:jc w:val="center"/>
              <w:rPr>
                <w:sz w:val="22"/>
                <w:szCs w:val="22"/>
              </w:rPr>
            </w:pPr>
            <w:r w:rsidRPr="007032A4">
              <w:rPr>
                <w:sz w:val="22"/>
                <w:szCs w:val="22"/>
              </w:rPr>
              <w:t>30</w:t>
            </w:r>
          </w:p>
        </w:tc>
        <w:tc>
          <w:tcPr>
            <w:tcW w:w="419" w:type="pct"/>
            <w:vAlign w:val="center"/>
          </w:tcPr>
          <w:p w:rsidR="00CE26CF" w:rsidRPr="007032A4" w:rsidRDefault="00467874" w:rsidP="00467874">
            <w:pPr>
              <w:widowControl w:val="0"/>
              <w:autoSpaceDE w:val="0"/>
              <w:autoSpaceDN w:val="0"/>
              <w:adjustRightInd w:val="0"/>
              <w:jc w:val="center"/>
              <w:rPr>
                <w:sz w:val="22"/>
                <w:szCs w:val="22"/>
              </w:rPr>
            </w:pPr>
            <w:r w:rsidRPr="007032A4">
              <w:rPr>
                <w:sz w:val="22"/>
                <w:szCs w:val="22"/>
              </w:rPr>
              <w:t>30</w:t>
            </w:r>
          </w:p>
        </w:tc>
      </w:tr>
      <w:tr w:rsidR="00AB56AF" w:rsidRPr="007032A4" w:rsidTr="00467874">
        <w:tc>
          <w:tcPr>
            <w:tcW w:w="226" w:type="pct"/>
            <w:vMerge w:val="restart"/>
          </w:tcPr>
          <w:p w:rsidR="00AB56AF" w:rsidRPr="007032A4" w:rsidRDefault="00AB56AF" w:rsidP="00763855">
            <w:pPr>
              <w:widowControl w:val="0"/>
              <w:autoSpaceDE w:val="0"/>
              <w:autoSpaceDN w:val="0"/>
              <w:adjustRightInd w:val="0"/>
              <w:jc w:val="center"/>
              <w:rPr>
                <w:sz w:val="22"/>
                <w:szCs w:val="22"/>
              </w:rPr>
            </w:pPr>
            <w:r w:rsidRPr="007032A4">
              <w:rPr>
                <w:sz w:val="22"/>
                <w:szCs w:val="22"/>
              </w:rPr>
              <w:t>3.</w:t>
            </w:r>
            <w:r w:rsidR="00763855" w:rsidRPr="007032A4">
              <w:rPr>
                <w:sz w:val="22"/>
                <w:szCs w:val="22"/>
              </w:rPr>
              <w:t>3</w:t>
            </w: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 xml:space="preserve">Протяженность </w:t>
            </w:r>
            <w:r w:rsidRPr="007032A4">
              <w:rPr>
                <w:b/>
                <w:sz w:val="22"/>
                <w:szCs w:val="22"/>
              </w:rPr>
              <w:t>тепловых</w:t>
            </w:r>
            <w:r w:rsidRPr="007032A4">
              <w:rPr>
                <w:sz w:val="22"/>
                <w:szCs w:val="22"/>
              </w:rPr>
              <w:t xml:space="preserve"> и паровых сетей, нуждающихся в замене</w:t>
            </w:r>
          </w:p>
        </w:tc>
        <w:tc>
          <w:tcPr>
            <w:tcW w:w="899" w:type="pct"/>
            <w:vMerge w:val="restar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процентов от общей протяженности сетей</w:t>
            </w: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44,7</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45,0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44,9</w:t>
            </w:r>
          </w:p>
        </w:tc>
        <w:tc>
          <w:tcPr>
            <w:tcW w:w="420" w:type="pct"/>
            <w:vAlign w:val="center"/>
          </w:tcPr>
          <w:p w:rsidR="00AB56AF" w:rsidRPr="007032A4" w:rsidRDefault="00AB56AF" w:rsidP="00A35514">
            <w:pPr>
              <w:widowControl w:val="0"/>
              <w:autoSpaceDE w:val="0"/>
              <w:autoSpaceDN w:val="0"/>
              <w:adjustRightInd w:val="0"/>
              <w:jc w:val="center"/>
              <w:rPr>
                <w:sz w:val="22"/>
                <w:szCs w:val="22"/>
              </w:rPr>
            </w:pPr>
            <w:r w:rsidRPr="007032A4">
              <w:rPr>
                <w:sz w:val="22"/>
                <w:szCs w:val="22"/>
              </w:rPr>
              <w:t>4</w:t>
            </w:r>
            <w:r w:rsidR="00A35514" w:rsidRPr="007032A4">
              <w:rPr>
                <w:sz w:val="22"/>
                <w:szCs w:val="22"/>
              </w:rPr>
              <w:t>8</w:t>
            </w:r>
            <w:r w:rsidRPr="007032A4">
              <w:rPr>
                <w:sz w:val="22"/>
                <w:szCs w:val="22"/>
              </w:rPr>
              <w:t>,9</w:t>
            </w:r>
          </w:p>
        </w:tc>
        <w:tc>
          <w:tcPr>
            <w:tcW w:w="420" w:type="pct"/>
            <w:vAlign w:val="center"/>
          </w:tcPr>
          <w:p w:rsidR="00AB56AF" w:rsidRPr="007032A4" w:rsidRDefault="00467874" w:rsidP="00467874">
            <w:pPr>
              <w:widowControl w:val="0"/>
              <w:autoSpaceDE w:val="0"/>
              <w:autoSpaceDN w:val="0"/>
              <w:adjustRightInd w:val="0"/>
              <w:jc w:val="center"/>
              <w:rPr>
                <w:sz w:val="22"/>
                <w:szCs w:val="22"/>
              </w:rPr>
            </w:pPr>
            <w:r w:rsidRPr="007032A4">
              <w:rPr>
                <w:sz w:val="22"/>
                <w:szCs w:val="22"/>
              </w:rPr>
              <w:t>38,0</w:t>
            </w:r>
          </w:p>
        </w:tc>
        <w:tc>
          <w:tcPr>
            <w:tcW w:w="419" w:type="pct"/>
            <w:vAlign w:val="center"/>
          </w:tcPr>
          <w:p w:rsidR="00AB56AF" w:rsidRPr="007032A4" w:rsidRDefault="00467874" w:rsidP="00467874">
            <w:pPr>
              <w:widowControl w:val="0"/>
              <w:autoSpaceDE w:val="0"/>
              <w:autoSpaceDN w:val="0"/>
              <w:adjustRightInd w:val="0"/>
              <w:jc w:val="center"/>
              <w:rPr>
                <w:sz w:val="22"/>
                <w:szCs w:val="22"/>
              </w:rPr>
            </w:pPr>
            <w:r w:rsidRPr="007032A4">
              <w:rPr>
                <w:sz w:val="22"/>
                <w:szCs w:val="22"/>
              </w:rPr>
              <w:t>15,0</w:t>
            </w:r>
          </w:p>
        </w:tc>
      </w:tr>
      <w:tr w:rsidR="00AB56AF" w:rsidRPr="007032A4" w:rsidTr="00467874">
        <w:tc>
          <w:tcPr>
            <w:tcW w:w="226" w:type="pct"/>
            <w:vMerge/>
          </w:tcPr>
          <w:p w:rsidR="00AB56AF" w:rsidRPr="007032A4" w:rsidRDefault="00AB56AF" w:rsidP="00B064D1">
            <w:pPr>
              <w:widowControl w:val="0"/>
              <w:autoSpaceDE w:val="0"/>
              <w:autoSpaceDN w:val="0"/>
              <w:adjustRightInd w:val="0"/>
              <w:jc w:val="center"/>
              <w:rPr>
                <w:sz w:val="22"/>
                <w:szCs w:val="22"/>
              </w:rPr>
            </w:pP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AB56AF" w:rsidRPr="007032A4" w:rsidRDefault="00AB56AF" w:rsidP="00B064D1">
            <w:pPr>
              <w:widowControl w:val="0"/>
              <w:autoSpaceDE w:val="0"/>
              <w:autoSpaceDN w:val="0"/>
              <w:adjustRightInd w:val="0"/>
              <w:jc w:val="center"/>
              <w:rPr>
                <w:sz w:val="22"/>
                <w:szCs w:val="22"/>
              </w:rPr>
            </w:pP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30,3</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33,6</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33,6</w:t>
            </w:r>
          </w:p>
        </w:tc>
        <w:tc>
          <w:tcPr>
            <w:tcW w:w="420" w:type="pct"/>
            <w:vAlign w:val="center"/>
          </w:tcPr>
          <w:p w:rsidR="00AB56AF" w:rsidRPr="007032A4" w:rsidRDefault="00AB56AF" w:rsidP="00A35514">
            <w:pPr>
              <w:widowControl w:val="0"/>
              <w:autoSpaceDE w:val="0"/>
              <w:autoSpaceDN w:val="0"/>
              <w:adjustRightInd w:val="0"/>
              <w:jc w:val="center"/>
              <w:rPr>
                <w:sz w:val="22"/>
                <w:szCs w:val="22"/>
              </w:rPr>
            </w:pPr>
            <w:r w:rsidRPr="007032A4">
              <w:rPr>
                <w:sz w:val="22"/>
                <w:szCs w:val="22"/>
              </w:rPr>
              <w:t>3</w:t>
            </w:r>
            <w:r w:rsidR="00A35514" w:rsidRPr="007032A4">
              <w:rPr>
                <w:sz w:val="22"/>
                <w:szCs w:val="22"/>
              </w:rPr>
              <w:t>1</w:t>
            </w:r>
            <w:r w:rsidRPr="007032A4">
              <w:rPr>
                <w:sz w:val="22"/>
                <w:szCs w:val="22"/>
              </w:rPr>
              <w:t>,</w:t>
            </w:r>
            <w:r w:rsidR="00A35514" w:rsidRPr="007032A4">
              <w:rPr>
                <w:sz w:val="22"/>
                <w:szCs w:val="22"/>
              </w:rPr>
              <w:t>9</w:t>
            </w:r>
          </w:p>
        </w:tc>
        <w:tc>
          <w:tcPr>
            <w:tcW w:w="420" w:type="pct"/>
            <w:vAlign w:val="center"/>
          </w:tcPr>
          <w:p w:rsidR="00AB56AF" w:rsidRPr="007032A4" w:rsidRDefault="00EB1B80" w:rsidP="00467874">
            <w:pPr>
              <w:widowControl w:val="0"/>
              <w:autoSpaceDE w:val="0"/>
              <w:autoSpaceDN w:val="0"/>
              <w:adjustRightInd w:val="0"/>
              <w:jc w:val="center"/>
              <w:rPr>
                <w:sz w:val="22"/>
                <w:szCs w:val="22"/>
              </w:rPr>
            </w:pPr>
            <w:r w:rsidRPr="007032A4">
              <w:rPr>
                <w:sz w:val="22"/>
                <w:szCs w:val="22"/>
              </w:rPr>
              <w:t>28</w:t>
            </w:r>
            <w:r w:rsidR="00467874" w:rsidRPr="007032A4">
              <w:rPr>
                <w:sz w:val="22"/>
                <w:szCs w:val="22"/>
              </w:rPr>
              <w:t>,0</w:t>
            </w:r>
          </w:p>
        </w:tc>
        <w:tc>
          <w:tcPr>
            <w:tcW w:w="419" w:type="pct"/>
            <w:vAlign w:val="center"/>
          </w:tcPr>
          <w:p w:rsidR="00AB56AF" w:rsidRPr="007032A4" w:rsidRDefault="00EB1B80" w:rsidP="00EB1B80">
            <w:pPr>
              <w:widowControl w:val="0"/>
              <w:autoSpaceDE w:val="0"/>
              <w:autoSpaceDN w:val="0"/>
              <w:adjustRightInd w:val="0"/>
              <w:jc w:val="center"/>
              <w:rPr>
                <w:sz w:val="22"/>
                <w:szCs w:val="22"/>
              </w:rPr>
            </w:pPr>
            <w:r w:rsidRPr="007032A4">
              <w:rPr>
                <w:sz w:val="22"/>
                <w:szCs w:val="22"/>
              </w:rPr>
              <w:t>10</w:t>
            </w:r>
            <w:r w:rsidR="00467874" w:rsidRPr="007032A4">
              <w:rPr>
                <w:sz w:val="22"/>
                <w:szCs w:val="22"/>
              </w:rPr>
              <w:t>,0</w:t>
            </w:r>
          </w:p>
        </w:tc>
      </w:tr>
      <w:tr w:rsidR="00AB56AF" w:rsidRPr="007032A4" w:rsidTr="00467874">
        <w:tc>
          <w:tcPr>
            <w:tcW w:w="226" w:type="pct"/>
            <w:vMerge w:val="restart"/>
          </w:tcPr>
          <w:p w:rsidR="00AB56AF" w:rsidRPr="007032A4" w:rsidRDefault="00AB56AF" w:rsidP="00763855">
            <w:pPr>
              <w:widowControl w:val="0"/>
              <w:autoSpaceDE w:val="0"/>
              <w:autoSpaceDN w:val="0"/>
              <w:adjustRightInd w:val="0"/>
              <w:jc w:val="center"/>
              <w:rPr>
                <w:sz w:val="22"/>
                <w:szCs w:val="22"/>
              </w:rPr>
            </w:pPr>
            <w:r w:rsidRPr="007032A4">
              <w:rPr>
                <w:sz w:val="22"/>
                <w:szCs w:val="22"/>
              </w:rPr>
              <w:t>3.</w:t>
            </w:r>
            <w:r w:rsidR="00763855" w:rsidRPr="007032A4">
              <w:rPr>
                <w:sz w:val="22"/>
                <w:szCs w:val="22"/>
              </w:rPr>
              <w:t>4</w:t>
            </w:r>
          </w:p>
        </w:tc>
        <w:tc>
          <w:tcPr>
            <w:tcW w:w="1425" w:type="pct"/>
          </w:tcPr>
          <w:p w:rsidR="00AB56AF" w:rsidRPr="007032A4" w:rsidRDefault="00AB56AF" w:rsidP="004E4192">
            <w:pPr>
              <w:widowControl w:val="0"/>
              <w:autoSpaceDE w:val="0"/>
              <w:autoSpaceDN w:val="0"/>
              <w:adjustRightInd w:val="0"/>
              <w:jc w:val="center"/>
              <w:rPr>
                <w:sz w:val="22"/>
                <w:szCs w:val="22"/>
              </w:rPr>
            </w:pPr>
            <w:r w:rsidRPr="007032A4">
              <w:rPr>
                <w:sz w:val="22"/>
                <w:szCs w:val="22"/>
              </w:rPr>
              <w:t xml:space="preserve">Протяженность уличной </w:t>
            </w:r>
            <w:r w:rsidRPr="007032A4">
              <w:rPr>
                <w:b/>
                <w:sz w:val="22"/>
                <w:szCs w:val="22"/>
              </w:rPr>
              <w:t>водопроводной</w:t>
            </w:r>
            <w:r w:rsidRPr="007032A4">
              <w:rPr>
                <w:sz w:val="22"/>
                <w:szCs w:val="22"/>
              </w:rPr>
              <w:t xml:space="preserve"> сети, нуждающейся в замене</w:t>
            </w:r>
          </w:p>
        </w:tc>
        <w:tc>
          <w:tcPr>
            <w:tcW w:w="899" w:type="pct"/>
            <w:vMerge w:val="restar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процентов от общей протяженности сетей</w:t>
            </w: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68,7</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71,5</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64,4</w:t>
            </w:r>
          </w:p>
        </w:tc>
        <w:tc>
          <w:tcPr>
            <w:tcW w:w="420" w:type="pct"/>
            <w:vAlign w:val="center"/>
          </w:tcPr>
          <w:p w:rsidR="00AB56AF" w:rsidRPr="007032A4" w:rsidRDefault="002366FC" w:rsidP="002366FC">
            <w:pPr>
              <w:widowControl w:val="0"/>
              <w:autoSpaceDE w:val="0"/>
              <w:autoSpaceDN w:val="0"/>
              <w:adjustRightInd w:val="0"/>
              <w:jc w:val="center"/>
              <w:rPr>
                <w:sz w:val="22"/>
                <w:szCs w:val="22"/>
              </w:rPr>
            </w:pPr>
            <w:r w:rsidRPr="007032A4">
              <w:rPr>
                <w:sz w:val="22"/>
                <w:szCs w:val="22"/>
              </w:rPr>
              <w:t>70,8</w:t>
            </w:r>
          </w:p>
        </w:tc>
        <w:tc>
          <w:tcPr>
            <w:tcW w:w="420" w:type="pct"/>
            <w:vAlign w:val="center"/>
          </w:tcPr>
          <w:p w:rsidR="00AB56AF" w:rsidRPr="007032A4" w:rsidRDefault="00F87CBC" w:rsidP="00467874">
            <w:pPr>
              <w:widowControl w:val="0"/>
              <w:autoSpaceDE w:val="0"/>
              <w:autoSpaceDN w:val="0"/>
              <w:adjustRightInd w:val="0"/>
              <w:jc w:val="center"/>
              <w:rPr>
                <w:sz w:val="22"/>
                <w:szCs w:val="22"/>
              </w:rPr>
            </w:pPr>
            <w:r w:rsidRPr="007032A4">
              <w:rPr>
                <w:sz w:val="22"/>
                <w:szCs w:val="22"/>
              </w:rPr>
              <w:t>60</w:t>
            </w:r>
            <w:r w:rsidR="00467874" w:rsidRPr="007032A4">
              <w:rPr>
                <w:sz w:val="22"/>
                <w:szCs w:val="22"/>
              </w:rPr>
              <w:t>,0</w:t>
            </w:r>
          </w:p>
        </w:tc>
        <w:tc>
          <w:tcPr>
            <w:tcW w:w="419" w:type="pct"/>
            <w:vAlign w:val="center"/>
          </w:tcPr>
          <w:p w:rsidR="00AB56AF" w:rsidRPr="007032A4" w:rsidRDefault="00467874" w:rsidP="00467874">
            <w:pPr>
              <w:widowControl w:val="0"/>
              <w:autoSpaceDE w:val="0"/>
              <w:autoSpaceDN w:val="0"/>
              <w:adjustRightInd w:val="0"/>
              <w:jc w:val="center"/>
              <w:rPr>
                <w:sz w:val="22"/>
                <w:szCs w:val="22"/>
              </w:rPr>
            </w:pPr>
            <w:r w:rsidRPr="007032A4">
              <w:rPr>
                <w:sz w:val="22"/>
                <w:szCs w:val="22"/>
              </w:rPr>
              <w:t>40,0</w:t>
            </w:r>
          </w:p>
        </w:tc>
      </w:tr>
      <w:tr w:rsidR="00AB56AF" w:rsidRPr="007032A4" w:rsidTr="00467874">
        <w:tc>
          <w:tcPr>
            <w:tcW w:w="226" w:type="pct"/>
            <w:vMerge/>
          </w:tcPr>
          <w:p w:rsidR="00AB56AF" w:rsidRPr="007032A4" w:rsidRDefault="00AB56AF" w:rsidP="00B064D1">
            <w:pPr>
              <w:widowControl w:val="0"/>
              <w:autoSpaceDE w:val="0"/>
              <w:autoSpaceDN w:val="0"/>
              <w:adjustRightInd w:val="0"/>
              <w:jc w:val="center"/>
              <w:rPr>
                <w:sz w:val="22"/>
                <w:szCs w:val="22"/>
              </w:rPr>
            </w:pP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AB56AF" w:rsidRPr="007032A4" w:rsidRDefault="00AB56AF" w:rsidP="00B064D1">
            <w:pPr>
              <w:widowControl w:val="0"/>
              <w:autoSpaceDE w:val="0"/>
              <w:autoSpaceDN w:val="0"/>
              <w:adjustRightInd w:val="0"/>
              <w:jc w:val="center"/>
              <w:rPr>
                <w:sz w:val="22"/>
                <w:szCs w:val="22"/>
              </w:rPr>
            </w:pP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63,9</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72,8</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53,0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71</w:t>
            </w:r>
            <w:r w:rsidR="00F87CBC" w:rsidRPr="007032A4">
              <w:rPr>
                <w:sz w:val="22"/>
                <w:szCs w:val="22"/>
              </w:rPr>
              <w:t>,0</w:t>
            </w:r>
          </w:p>
        </w:tc>
        <w:tc>
          <w:tcPr>
            <w:tcW w:w="420" w:type="pct"/>
            <w:vAlign w:val="center"/>
          </w:tcPr>
          <w:p w:rsidR="00AB56AF" w:rsidRPr="007032A4" w:rsidRDefault="00467874" w:rsidP="00467874">
            <w:pPr>
              <w:widowControl w:val="0"/>
              <w:autoSpaceDE w:val="0"/>
              <w:autoSpaceDN w:val="0"/>
              <w:adjustRightInd w:val="0"/>
              <w:jc w:val="center"/>
              <w:rPr>
                <w:sz w:val="22"/>
                <w:szCs w:val="22"/>
              </w:rPr>
            </w:pPr>
            <w:r w:rsidRPr="007032A4">
              <w:rPr>
                <w:sz w:val="22"/>
                <w:szCs w:val="22"/>
              </w:rPr>
              <w:t>55,0</w:t>
            </w:r>
          </w:p>
        </w:tc>
        <w:tc>
          <w:tcPr>
            <w:tcW w:w="419" w:type="pct"/>
            <w:vAlign w:val="center"/>
          </w:tcPr>
          <w:p w:rsidR="00AB56AF" w:rsidRPr="007032A4" w:rsidRDefault="00467874" w:rsidP="00467874">
            <w:pPr>
              <w:widowControl w:val="0"/>
              <w:autoSpaceDE w:val="0"/>
              <w:autoSpaceDN w:val="0"/>
              <w:adjustRightInd w:val="0"/>
              <w:jc w:val="center"/>
              <w:rPr>
                <w:sz w:val="22"/>
                <w:szCs w:val="22"/>
              </w:rPr>
            </w:pPr>
            <w:r w:rsidRPr="007032A4">
              <w:rPr>
                <w:sz w:val="22"/>
                <w:szCs w:val="22"/>
              </w:rPr>
              <w:t>30,0</w:t>
            </w:r>
          </w:p>
        </w:tc>
      </w:tr>
      <w:tr w:rsidR="00AB56AF" w:rsidRPr="007032A4" w:rsidTr="00467874">
        <w:tc>
          <w:tcPr>
            <w:tcW w:w="226" w:type="pct"/>
            <w:vMerge w:val="restart"/>
          </w:tcPr>
          <w:p w:rsidR="00AB56AF" w:rsidRPr="007032A4" w:rsidRDefault="00AB56AF" w:rsidP="00763855">
            <w:pPr>
              <w:widowControl w:val="0"/>
              <w:autoSpaceDE w:val="0"/>
              <w:autoSpaceDN w:val="0"/>
              <w:adjustRightInd w:val="0"/>
              <w:jc w:val="center"/>
              <w:rPr>
                <w:sz w:val="22"/>
                <w:szCs w:val="22"/>
              </w:rPr>
            </w:pPr>
            <w:r w:rsidRPr="007032A4">
              <w:rPr>
                <w:sz w:val="22"/>
                <w:szCs w:val="22"/>
              </w:rPr>
              <w:t>3.</w:t>
            </w:r>
            <w:r w:rsidR="00763855" w:rsidRPr="007032A4">
              <w:rPr>
                <w:sz w:val="22"/>
                <w:szCs w:val="22"/>
              </w:rPr>
              <w:t>5</w:t>
            </w:r>
          </w:p>
        </w:tc>
        <w:tc>
          <w:tcPr>
            <w:tcW w:w="1425" w:type="pct"/>
          </w:tcPr>
          <w:p w:rsidR="00AB56AF" w:rsidRPr="007032A4" w:rsidRDefault="00AB56AF" w:rsidP="004E4192">
            <w:pPr>
              <w:widowControl w:val="0"/>
              <w:autoSpaceDE w:val="0"/>
              <w:autoSpaceDN w:val="0"/>
              <w:adjustRightInd w:val="0"/>
              <w:jc w:val="center"/>
              <w:rPr>
                <w:sz w:val="22"/>
                <w:szCs w:val="22"/>
              </w:rPr>
            </w:pPr>
            <w:r w:rsidRPr="007032A4">
              <w:rPr>
                <w:sz w:val="22"/>
                <w:szCs w:val="22"/>
              </w:rPr>
              <w:t xml:space="preserve">Протяженность уличной </w:t>
            </w:r>
            <w:r w:rsidRPr="007032A4">
              <w:rPr>
                <w:b/>
                <w:sz w:val="22"/>
                <w:szCs w:val="22"/>
              </w:rPr>
              <w:t>канализационной</w:t>
            </w:r>
            <w:r w:rsidRPr="007032A4">
              <w:rPr>
                <w:sz w:val="22"/>
                <w:szCs w:val="22"/>
              </w:rPr>
              <w:t xml:space="preserve"> сети, нуждающ</w:t>
            </w:r>
            <w:r w:rsidR="004E4192" w:rsidRPr="007032A4">
              <w:rPr>
                <w:sz w:val="22"/>
                <w:szCs w:val="22"/>
              </w:rPr>
              <w:t>ей</w:t>
            </w:r>
            <w:r w:rsidRPr="007032A4">
              <w:rPr>
                <w:sz w:val="22"/>
                <w:szCs w:val="22"/>
              </w:rPr>
              <w:t>ся в замене</w:t>
            </w:r>
          </w:p>
        </w:tc>
        <w:tc>
          <w:tcPr>
            <w:tcW w:w="899" w:type="pct"/>
            <w:vMerge w:val="restar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процентов от общей протяженности сетей</w:t>
            </w: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63,0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70,2</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70,4</w:t>
            </w:r>
          </w:p>
        </w:tc>
        <w:tc>
          <w:tcPr>
            <w:tcW w:w="420" w:type="pct"/>
            <w:vAlign w:val="center"/>
          </w:tcPr>
          <w:p w:rsidR="00AB56AF" w:rsidRPr="007032A4" w:rsidRDefault="00AB56AF" w:rsidP="00F87CBC">
            <w:pPr>
              <w:widowControl w:val="0"/>
              <w:autoSpaceDE w:val="0"/>
              <w:autoSpaceDN w:val="0"/>
              <w:adjustRightInd w:val="0"/>
              <w:jc w:val="center"/>
              <w:rPr>
                <w:sz w:val="22"/>
                <w:szCs w:val="22"/>
              </w:rPr>
            </w:pPr>
            <w:r w:rsidRPr="007032A4">
              <w:rPr>
                <w:sz w:val="22"/>
                <w:szCs w:val="22"/>
              </w:rPr>
              <w:t>7</w:t>
            </w:r>
            <w:r w:rsidR="00F87CBC" w:rsidRPr="007032A4">
              <w:rPr>
                <w:sz w:val="22"/>
                <w:szCs w:val="22"/>
              </w:rPr>
              <w:t>4</w:t>
            </w:r>
            <w:r w:rsidRPr="007032A4">
              <w:rPr>
                <w:sz w:val="22"/>
                <w:szCs w:val="22"/>
              </w:rPr>
              <w:t>,</w:t>
            </w:r>
            <w:r w:rsidR="00F87CBC" w:rsidRPr="007032A4">
              <w:rPr>
                <w:sz w:val="22"/>
                <w:szCs w:val="22"/>
              </w:rPr>
              <w:t>7</w:t>
            </w:r>
          </w:p>
        </w:tc>
        <w:tc>
          <w:tcPr>
            <w:tcW w:w="420" w:type="pct"/>
            <w:vAlign w:val="center"/>
          </w:tcPr>
          <w:p w:rsidR="00AB56AF" w:rsidRPr="007032A4" w:rsidRDefault="00A35514" w:rsidP="00467874">
            <w:pPr>
              <w:widowControl w:val="0"/>
              <w:autoSpaceDE w:val="0"/>
              <w:autoSpaceDN w:val="0"/>
              <w:adjustRightInd w:val="0"/>
              <w:jc w:val="center"/>
              <w:rPr>
                <w:sz w:val="22"/>
                <w:szCs w:val="22"/>
              </w:rPr>
            </w:pPr>
            <w:r w:rsidRPr="007032A4">
              <w:rPr>
                <w:sz w:val="22"/>
                <w:szCs w:val="22"/>
              </w:rPr>
              <w:t>65,0</w:t>
            </w:r>
          </w:p>
        </w:tc>
        <w:tc>
          <w:tcPr>
            <w:tcW w:w="419" w:type="pct"/>
            <w:vAlign w:val="center"/>
          </w:tcPr>
          <w:p w:rsidR="00AB56AF" w:rsidRPr="007032A4" w:rsidRDefault="00A35514" w:rsidP="00467874">
            <w:pPr>
              <w:widowControl w:val="0"/>
              <w:autoSpaceDE w:val="0"/>
              <w:autoSpaceDN w:val="0"/>
              <w:adjustRightInd w:val="0"/>
              <w:jc w:val="center"/>
              <w:rPr>
                <w:sz w:val="22"/>
                <w:szCs w:val="22"/>
              </w:rPr>
            </w:pPr>
            <w:r w:rsidRPr="007032A4">
              <w:rPr>
                <w:sz w:val="22"/>
                <w:szCs w:val="22"/>
              </w:rPr>
              <w:t>40,0</w:t>
            </w:r>
          </w:p>
        </w:tc>
      </w:tr>
      <w:tr w:rsidR="00AB56AF" w:rsidRPr="007032A4" w:rsidTr="00467874">
        <w:tc>
          <w:tcPr>
            <w:tcW w:w="226" w:type="pct"/>
            <w:vMerge/>
          </w:tcPr>
          <w:p w:rsidR="00AB56AF" w:rsidRPr="007032A4" w:rsidRDefault="00AB56AF" w:rsidP="00B064D1">
            <w:pPr>
              <w:widowControl w:val="0"/>
              <w:autoSpaceDE w:val="0"/>
              <w:autoSpaceDN w:val="0"/>
              <w:adjustRightInd w:val="0"/>
              <w:jc w:val="center"/>
              <w:rPr>
                <w:sz w:val="22"/>
                <w:szCs w:val="22"/>
              </w:rPr>
            </w:pP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AB56AF" w:rsidRPr="007032A4" w:rsidRDefault="00AB56AF" w:rsidP="00B064D1">
            <w:pPr>
              <w:widowControl w:val="0"/>
              <w:autoSpaceDE w:val="0"/>
              <w:autoSpaceDN w:val="0"/>
              <w:adjustRightInd w:val="0"/>
              <w:jc w:val="center"/>
              <w:rPr>
                <w:sz w:val="22"/>
                <w:szCs w:val="22"/>
              </w:rPr>
            </w:pP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71,3</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82,1</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82,1</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92,</w:t>
            </w:r>
            <w:r w:rsidR="00F87CBC" w:rsidRPr="007032A4">
              <w:rPr>
                <w:sz w:val="22"/>
                <w:szCs w:val="22"/>
              </w:rPr>
              <w:t>2</w:t>
            </w:r>
          </w:p>
        </w:tc>
        <w:tc>
          <w:tcPr>
            <w:tcW w:w="420" w:type="pct"/>
            <w:vAlign w:val="center"/>
          </w:tcPr>
          <w:p w:rsidR="00AB56AF" w:rsidRPr="007032A4" w:rsidRDefault="00EB1B80" w:rsidP="00467874">
            <w:pPr>
              <w:widowControl w:val="0"/>
              <w:autoSpaceDE w:val="0"/>
              <w:autoSpaceDN w:val="0"/>
              <w:adjustRightInd w:val="0"/>
              <w:jc w:val="center"/>
              <w:rPr>
                <w:sz w:val="22"/>
                <w:szCs w:val="22"/>
              </w:rPr>
            </w:pPr>
            <w:r w:rsidRPr="007032A4">
              <w:rPr>
                <w:sz w:val="22"/>
                <w:szCs w:val="22"/>
              </w:rPr>
              <w:t>20,0</w:t>
            </w:r>
          </w:p>
        </w:tc>
        <w:tc>
          <w:tcPr>
            <w:tcW w:w="419" w:type="pct"/>
            <w:vAlign w:val="center"/>
          </w:tcPr>
          <w:p w:rsidR="00AB56AF" w:rsidRPr="007032A4" w:rsidRDefault="00EB1B80" w:rsidP="00467874">
            <w:pPr>
              <w:widowControl w:val="0"/>
              <w:autoSpaceDE w:val="0"/>
              <w:autoSpaceDN w:val="0"/>
              <w:adjustRightInd w:val="0"/>
              <w:jc w:val="center"/>
              <w:rPr>
                <w:sz w:val="22"/>
                <w:szCs w:val="22"/>
              </w:rPr>
            </w:pPr>
            <w:r w:rsidRPr="007032A4">
              <w:rPr>
                <w:sz w:val="22"/>
                <w:szCs w:val="22"/>
              </w:rPr>
              <w:t>5,0</w:t>
            </w:r>
          </w:p>
        </w:tc>
      </w:tr>
      <w:tr w:rsidR="00AB56AF" w:rsidRPr="007032A4" w:rsidTr="00467874">
        <w:tc>
          <w:tcPr>
            <w:tcW w:w="226" w:type="pct"/>
            <w:vMerge w:val="restart"/>
          </w:tcPr>
          <w:p w:rsidR="00AB56AF" w:rsidRPr="007032A4" w:rsidRDefault="00AB56AF" w:rsidP="00763855">
            <w:pPr>
              <w:widowControl w:val="0"/>
              <w:autoSpaceDE w:val="0"/>
              <w:autoSpaceDN w:val="0"/>
              <w:adjustRightInd w:val="0"/>
              <w:jc w:val="center"/>
              <w:rPr>
                <w:sz w:val="22"/>
                <w:szCs w:val="22"/>
              </w:rPr>
            </w:pPr>
            <w:r w:rsidRPr="007032A4">
              <w:rPr>
                <w:sz w:val="22"/>
                <w:szCs w:val="22"/>
              </w:rPr>
              <w:t>3.</w:t>
            </w:r>
            <w:r w:rsidR="00763855" w:rsidRPr="007032A4">
              <w:rPr>
                <w:sz w:val="22"/>
                <w:szCs w:val="22"/>
              </w:rPr>
              <w:t>6</w:t>
            </w: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 xml:space="preserve">Удельный вес </w:t>
            </w:r>
            <w:r w:rsidRPr="007032A4">
              <w:rPr>
                <w:b/>
                <w:sz w:val="22"/>
                <w:szCs w:val="22"/>
              </w:rPr>
              <w:t>автомобильных дорог</w:t>
            </w:r>
            <w:r w:rsidRPr="007032A4">
              <w:rPr>
                <w:sz w:val="22"/>
                <w:szCs w:val="22"/>
              </w:rPr>
              <w:t xml:space="preserve"> местного значения с твердым покрытием, всего по Гатчинскому муниципальному району</w:t>
            </w:r>
          </w:p>
        </w:tc>
        <w:tc>
          <w:tcPr>
            <w:tcW w:w="899" w:type="pct"/>
            <w:vMerge w:val="restart"/>
            <w:vAlign w:val="center"/>
          </w:tcPr>
          <w:p w:rsidR="00AB56AF" w:rsidRPr="007032A4" w:rsidRDefault="00AB56AF" w:rsidP="00B064D1">
            <w:pPr>
              <w:widowControl w:val="0"/>
              <w:autoSpaceDE w:val="0"/>
              <w:autoSpaceDN w:val="0"/>
              <w:adjustRightInd w:val="0"/>
              <w:jc w:val="center"/>
              <w:rPr>
                <w:sz w:val="22"/>
                <w:szCs w:val="22"/>
              </w:rPr>
            </w:pPr>
            <w:r w:rsidRPr="007032A4">
              <w:rPr>
                <w:sz w:val="22"/>
                <w:szCs w:val="22"/>
              </w:rPr>
              <w:t>в процентах от общей протяженности дорог</w:t>
            </w: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79</w:t>
            </w:r>
            <w:r w:rsidR="0035282E" w:rsidRPr="007032A4">
              <w:rPr>
                <w:sz w:val="22"/>
                <w:szCs w:val="22"/>
              </w:rPr>
              <w:t>,0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85</w:t>
            </w:r>
            <w:r w:rsidR="0035282E" w:rsidRPr="007032A4">
              <w:rPr>
                <w:sz w:val="22"/>
                <w:szCs w:val="22"/>
              </w:rPr>
              <w:t>,0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85,5</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87</w:t>
            </w:r>
            <w:r w:rsidR="0035282E" w:rsidRPr="007032A4">
              <w:rPr>
                <w:sz w:val="22"/>
                <w:szCs w:val="22"/>
              </w:rPr>
              <w:t>,0</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90</w:t>
            </w:r>
            <w:r w:rsidR="0035282E" w:rsidRPr="007032A4">
              <w:rPr>
                <w:sz w:val="22"/>
                <w:szCs w:val="22"/>
              </w:rPr>
              <w:t>,0</w:t>
            </w:r>
          </w:p>
        </w:tc>
        <w:tc>
          <w:tcPr>
            <w:tcW w:w="419"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100</w:t>
            </w:r>
            <w:r w:rsidR="0035282E" w:rsidRPr="007032A4">
              <w:rPr>
                <w:sz w:val="22"/>
                <w:szCs w:val="22"/>
              </w:rPr>
              <w:t>,0</w:t>
            </w:r>
          </w:p>
        </w:tc>
      </w:tr>
      <w:tr w:rsidR="00AB56AF" w:rsidRPr="007032A4" w:rsidTr="00467874">
        <w:tc>
          <w:tcPr>
            <w:tcW w:w="226" w:type="pct"/>
            <w:vMerge/>
          </w:tcPr>
          <w:p w:rsidR="00AB56AF" w:rsidRPr="007032A4" w:rsidRDefault="00AB56AF" w:rsidP="00B064D1">
            <w:pPr>
              <w:widowControl w:val="0"/>
              <w:autoSpaceDE w:val="0"/>
              <w:autoSpaceDN w:val="0"/>
              <w:adjustRightInd w:val="0"/>
              <w:jc w:val="center"/>
              <w:rPr>
                <w:sz w:val="22"/>
                <w:szCs w:val="22"/>
              </w:rPr>
            </w:pPr>
          </w:p>
        </w:tc>
        <w:tc>
          <w:tcPr>
            <w:tcW w:w="1425" w:type="pct"/>
          </w:tcPr>
          <w:p w:rsidR="00AB56AF" w:rsidRPr="007032A4" w:rsidRDefault="00AB56AF" w:rsidP="00B064D1">
            <w:pPr>
              <w:widowControl w:val="0"/>
              <w:autoSpaceDE w:val="0"/>
              <w:autoSpaceDN w:val="0"/>
              <w:adjustRightInd w:val="0"/>
              <w:jc w:val="center"/>
              <w:rPr>
                <w:sz w:val="22"/>
                <w:szCs w:val="22"/>
              </w:rPr>
            </w:pPr>
            <w:r w:rsidRPr="007032A4">
              <w:rPr>
                <w:sz w:val="22"/>
                <w:szCs w:val="22"/>
              </w:rPr>
              <w:t xml:space="preserve">в том числе по МО «Город Гатчина» </w:t>
            </w:r>
          </w:p>
        </w:tc>
        <w:tc>
          <w:tcPr>
            <w:tcW w:w="899" w:type="pct"/>
            <w:vMerge/>
            <w:vAlign w:val="center"/>
          </w:tcPr>
          <w:p w:rsidR="00AB56AF" w:rsidRPr="007032A4" w:rsidRDefault="00AB56AF" w:rsidP="00B064D1">
            <w:pPr>
              <w:widowControl w:val="0"/>
              <w:autoSpaceDE w:val="0"/>
              <w:autoSpaceDN w:val="0"/>
              <w:adjustRightInd w:val="0"/>
              <w:jc w:val="center"/>
              <w:rPr>
                <w:sz w:val="22"/>
                <w:szCs w:val="22"/>
              </w:rPr>
            </w:pPr>
          </w:p>
        </w:tc>
        <w:tc>
          <w:tcPr>
            <w:tcW w:w="351"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99,9</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99,9</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99,9</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99,9</w:t>
            </w:r>
          </w:p>
        </w:tc>
        <w:tc>
          <w:tcPr>
            <w:tcW w:w="420"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100</w:t>
            </w:r>
            <w:r w:rsidR="0035282E" w:rsidRPr="007032A4">
              <w:rPr>
                <w:sz w:val="22"/>
                <w:szCs w:val="22"/>
              </w:rPr>
              <w:t>,0</w:t>
            </w:r>
          </w:p>
        </w:tc>
        <w:tc>
          <w:tcPr>
            <w:tcW w:w="419" w:type="pct"/>
            <w:vAlign w:val="center"/>
          </w:tcPr>
          <w:p w:rsidR="00AB56AF" w:rsidRPr="007032A4" w:rsidRDefault="00AB56AF" w:rsidP="00467874">
            <w:pPr>
              <w:widowControl w:val="0"/>
              <w:autoSpaceDE w:val="0"/>
              <w:autoSpaceDN w:val="0"/>
              <w:adjustRightInd w:val="0"/>
              <w:jc w:val="center"/>
              <w:rPr>
                <w:sz w:val="22"/>
                <w:szCs w:val="22"/>
              </w:rPr>
            </w:pPr>
            <w:r w:rsidRPr="007032A4">
              <w:rPr>
                <w:sz w:val="22"/>
                <w:szCs w:val="22"/>
              </w:rPr>
              <w:t>100</w:t>
            </w:r>
            <w:r w:rsidR="0035282E" w:rsidRPr="007032A4">
              <w:rPr>
                <w:sz w:val="22"/>
                <w:szCs w:val="22"/>
              </w:rPr>
              <w:t>,0</w:t>
            </w:r>
          </w:p>
        </w:tc>
      </w:tr>
      <w:tr w:rsidR="00AB56AF" w:rsidRPr="007032A4" w:rsidTr="00AB56AF">
        <w:tblPrEx>
          <w:tblLook w:val="04A0"/>
        </w:tblPrEx>
        <w:tc>
          <w:tcPr>
            <w:tcW w:w="226"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4</w:t>
            </w:r>
          </w:p>
        </w:tc>
        <w:tc>
          <w:tcPr>
            <w:tcW w:w="1425"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r w:rsidRPr="007032A4">
              <w:rPr>
                <w:b/>
                <w:sz w:val="22"/>
                <w:szCs w:val="22"/>
              </w:rPr>
              <w:t>«УСЛУГИ»</w:t>
            </w:r>
          </w:p>
        </w:tc>
        <w:tc>
          <w:tcPr>
            <w:tcW w:w="899" w:type="pct"/>
            <w:shd w:val="clear" w:color="auto" w:fill="EEECE1" w:themeFill="background2"/>
            <w:vAlign w:val="center"/>
          </w:tcPr>
          <w:p w:rsidR="00B064D1" w:rsidRPr="007032A4" w:rsidRDefault="00B064D1" w:rsidP="00B064D1">
            <w:pPr>
              <w:widowControl w:val="0"/>
              <w:autoSpaceDE w:val="0"/>
              <w:autoSpaceDN w:val="0"/>
              <w:adjustRightInd w:val="0"/>
              <w:jc w:val="center"/>
              <w:rPr>
                <w:b/>
                <w:sz w:val="22"/>
                <w:szCs w:val="22"/>
              </w:rPr>
            </w:pPr>
          </w:p>
        </w:tc>
        <w:tc>
          <w:tcPr>
            <w:tcW w:w="351"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420"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c>
          <w:tcPr>
            <w:tcW w:w="419" w:type="pct"/>
            <w:shd w:val="clear" w:color="auto" w:fill="EEECE1" w:themeFill="background2"/>
          </w:tcPr>
          <w:p w:rsidR="00B064D1" w:rsidRPr="007032A4" w:rsidRDefault="00B064D1" w:rsidP="00B064D1">
            <w:pPr>
              <w:widowControl w:val="0"/>
              <w:autoSpaceDE w:val="0"/>
              <w:autoSpaceDN w:val="0"/>
              <w:adjustRightInd w:val="0"/>
              <w:jc w:val="center"/>
              <w:rPr>
                <w:b/>
                <w:sz w:val="22"/>
                <w:szCs w:val="22"/>
              </w:rPr>
            </w:pPr>
          </w:p>
        </w:tc>
      </w:tr>
      <w:tr w:rsidR="00B13857" w:rsidRPr="007032A4" w:rsidTr="00467874">
        <w:tblPrEx>
          <w:tblLook w:val="04A0"/>
        </w:tblPrEx>
        <w:tc>
          <w:tcPr>
            <w:tcW w:w="226" w:type="pct"/>
            <w:vMerge w:val="restart"/>
          </w:tcPr>
          <w:p w:rsidR="00B13857" w:rsidRPr="007032A4" w:rsidRDefault="00B13857" w:rsidP="00B064D1">
            <w:pPr>
              <w:widowControl w:val="0"/>
              <w:autoSpaceDE w:val="0"/>
              <w:autoSpaceDN w:val="0"/>
              <w:adjustRightInd w:val="0"/>
              <w:jc w:val="center"/>
              <w:rPr>
                <w:sz w:val="22"/>
                <w:szCs w:val="22"/>
              </w:rPr>
            </w:pPr>
            <w:r w:rsidRPr="007032A4">
              <w:rPr>
                <w:sz w:val="22"/>
                <w:szCs w:val="22"/>
              </w:rPr>
              <w:t>4.1</w:t>
            </w:r>
          </w:p>
        </w:tc>
        <w:tc>
          <w:tcPr>
            <w:tcW w:w="1425" w:type="pct"/>
          </w:tcPr>
          <w:p w:rsidR="00B13857" w:rsidRPr="007032A4" w:rsidRDefault="00763855" w:rsidP="00763855">
            <w:pPr>
              <w:widowControl w:val="0"/>
              <w:autoSpaceDE w:val="0"/>
              <w:autoSpaceDN w:val="0"/>
              <w:adjustRightInd w:val="0"/>
              <w:jc w:val="center"/>
              <w:rPr>
                <w:sz w:val="22"/>
                <w:szCs w:val="22"/>
              </w:rPr>
            </w:pPr>
            <w:r w:rsidRPr="007032A4">
              <w:rPr>
                <w:sz w:val="22"/>
                <w:szCs w:val="22"/>
              </w:rPr>
              <w:t>Уровень удовлетворенности жителей услугами учреждений</w:t>
            </w:r>
            <w:r w:rsidR="00B13857" w:rsidRPr="007032A4">
              <w:rPr>
                <w:sz w:val="22"/>
                <w:szCs w:val="22"/>
              </w:rPr>
              <w:t xml:space="preserve"> </w:t>
            </w:r>
            <w:r w:rsidR="00B13857" w:rsidRPr="007032A4">
              <w:rPr>
                <w:b/>
                <w:sz w:val="22"/>
                <w:szCs w:val="22"/>
              </w:rPr>
              <w:t>детск</w:t>
            </w:r>
            <w:r w:rsidRPr="007032A4">
              <w:rPr>
                <w:b/>
                <w:sz w:val="22"/>
                <w:szCs w:val="22"/>
              </w:rPr>
              <w:t>ого</w:t>
            </w:r>
            <w:r w:rsidR="00B13857" w:rsidRPr="007032A4">
              <w:rPr>
                <w:b/>
                <w:sz w:val="22"/>
                <w:szCs w:val="22"/>
              </w:rPr>
              <w:t xml:space="preserve"> дошкольн</w:t>
            </w:r>
            <w:r w:rsidRPr="007032A4">
              <w:rPr>
                <w:b/>
                <w:sz w:val="22"/>
                <w:szCs w:val="22"/>
              </w:rPr>
              <w:t>ого</w:t>
            </w:r>
            <w:r w:rsidR="00B13857" w:rsidRPr="007032A4">
              <w:rPr>
                <w:b/>
                <w:sz w:val="22"/>
                <w:szCs w:val="22"/>
              </w:rPr>
              <w:t xml:space="preserve"> </w:t>
            </w:r>
            <w:r w:rsidRPr="007032A4">
              <w:rPr>
                <w:b/>
                <w:sz w:val="22"/>
                <w:szCs w:val="22"/>
              </w:rPr>
              <w:t>образования</w:t>
            </w:r>
            <w:r w:rsidR="00B13857" w:rsidRPr="007032A4">
              <w:rPr>
                <w:b/>
                <w:sz w:val="22"/>
                <w:szCs w:val="22"/>
              </w:rPr>
              <w:t xml:space="preserve"> </w:t>
            </w:r>
            <w:r w:rsidR="00B13857" w:rsidRPr="007032A4">
              <w:rPr>
                <w:sz w:val="22"/>
                <w:szCs w:val="22"/>
              </w:rPr>
              <w:t xml:space="preserve">(всего по Гатчинскому муниципальному району) </w:t>
            </w:r>
          </w:p>
        </w:tc>
        <w:tc>
          <w:tcPr>
            <w:tcW w:w="899" w:type="pct"/>
            <w:vMerge w:val="restart"/>
            <w:vAlign w:val="center"/>
          </w:tcPr>
          <w:p w:rsidR="00B13857" w:rsidRPr="007032A4" w:rsidRDefault="00B13857" w:rsidP="001F3878">
            <w:pPr>
              <w:widowControl w:val="0"/>
              <w:autoSpaceDE w:val="0"/>
              <w:autoSpaceDN w:val="0"/>
              <w:adjustRightInd w:val="0"/>
              <w:jc w:val="center"/>
              <w:rPr>
                <w:sz w:val="22"/>
                <w:szCs w:val="22"/>
              </w:rPr>
            </w:pPr>
            <w:r w:rsidRPr="007032A4">
              <w:rPr>
                <w:sz w:val="22"/>
                <w:szCs w:val="22"/>
              </w:rPr>
              <w:t xml:space="preserve">процент от </w:t>
            </w:r>
            <w:r w:rsidR="001F3878" w:rsidRPr="007032A4">
              <w:rPr>
                <w:sz w:val="22"/>
                <w:szCs w:val="22"/>
              </w:rPr>
              <w:t>опрошенных</w:t>
            </w:r>
          </w:p>
        </w:tc>
        <w:tc>
          <w:tcPr>
            <w:tcW w:w="351"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72,0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73,5</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75</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79,4</w:t>
            </w:r>
          </w:p>
        </w:tc>
        <w:tc>
          <w:tcPr>
            <w:tcW w:w="420" w:type="pct"/>
            <w:vAlign w:val="center"/>
          </w:tcPr>
          <w:p w:rsidR="00B13857" w:rsidRPr="007032A4" w:rsidRDefault="00C3147E" w:rsidP="00467874">
            <w:pPr>
              <w:widowControl w:val="0"/>
              <w:autoSpaceDE w:val="0"/>
              <w:autoSpaceDN w:val="0"/>
              <w:adjustRightInd w:val="0"/>
              <w:jc w:val="center"/>
              <w:rPr>
                <w:sz w:val="22"/>
                <w:szCs w:val="22"/>
              </w:rPr>
            </w:pPr>
            <w:r w:rsidRPr="007032A4">
              <w:rPr>
                <w:sz w:val="22"/>
                <w:szCs w:val="22"/>
              </w:rPr>
              <w:t>80,0</w:t>
            </w:r>
          </w:p>
        </w:tc>
        <w:tc>
          <w:tcPr>
            <w:tcW w:w="419" w:type="pct"/>
            <w:vAlign w:val="center"/>
          </w:tcPr>
          <w:p w:rsidR="00B13857" w:rsidRPr="007032A4" w:rsidRDefault="00C3147E" w:rsidP="00467874">
            <w:pPr>
              <w:widowControl w:val="0"/>
              <w:autoSpaceDE w:val="0"/>
              <w:autoSpaceDN w:val="0"/>
              <w:adjustRightInd w:val="0"/>
              <w:jc w:val="center"/>
              <w:rPr>
                <w:sz w:val="22"/>
                <w:szCs w:val="22"/>
              </w:rPr>
            </w:pPr>
            <w:r w:rsidRPr="007032A4">
              <w:rPr>
                <w:sz w:val="22"/>
                <w:szCs w:val="22"/>
              </w:rPr>
              <w:t>95,0</w:t>
            </w:r>
          </w:p>
        </w:tc>
      </w:tr>
      <w:tr w:rsidR="00B13857" w:rsidRPr="007032A4" w:rsidTr="00467874">
        <w:tblPrEx>
          <w:tblLook w:val="04A0"/>
        </w:tblPrEx>
        <w:tc>
          <w:tcPr>
            <w:tcW w:w="226" w:type="pct"/>
            <w:vMerge/>
          </w:tcPr>
          <w:p w:rsidR="00B13857" w:rsidRPr="007032A4" w:rsidRDefault="00B13857" w:rsidP="00B064D1">
            <w:pPr>
              <w:widowControl w:val="0"/>
              <w:autoSpaceDE w:val="0"/>
              <w:autoSpaceDN w:val="0"/>
              <w:adjustRightInd w:val="0"/>
              <w:jc w:val="center"/>
              <w:rPr>
                <w:sz w:val="22"/>
                <w:szCs w:val="22"/>
              </w:rPr>
            </w:pPr>
          </w:p>
        </w:tc>
        <w:tc>
          <w:tcPr>
            <w:tcW w:w="1425" w:type="pct"/>
          </w:tcPr>
          <w:p w:rsidR="00B13857" w:rsidRPr="007032A4" w:rsidRDefault="00B13857"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B13857" w:rsidRPr="007032A4" w:rsidRDefault="00B13857" w:rsidP="00B064D1">
            <w:pPr>
              <w:widowControl w:val="0"/>
              <w:autoSpaceDE w:val="0"/>
              <w:autoSpaceDN w:val="0"/>
              <w:adjustRightInd w:val="0"/>
              <w:jc w:val="center"/>
              <w:rPr>
                <w:sz w:val="22"/>
                <w:szCs w:val="22"/>
              </w:rPr>
            </w:pPr>
          </w:p>
        </w:tc>
        <w:tc>
          <w:tcPr>
            <w:tcW w:w="351"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53,3</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56,7</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60,0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76,7</w:t>
            </w:r>
          </w:p>
        </w:tc>
        <w:tc>
          <w:tcPr>
            <w:tcW w:w="420" w:type="pct"/>
            <w:vAlign w:val="center"/>
          </w:tcPr>
          <w:p w:rsidR="00B13857" w:rsidRPr="007032A4" w:rsidRDefault="001B05C9" w:rsidP="00467874">
            <w:pPr>
              <w:widowControl w:val="0"/>
              <w:autoSpaceDE w:val="0"/>
              <w:autoSpaceDN w:val="0"/>
              <w:adjustRightInd w:val="0"/>
              <w:jc w:val="center"/>
              <w:rPr>
                <w:sz w:val="22"/>
                <w:szCs w:val="22"/>
              </w:rPr>
            </w:pPr>
            <w:r w:rsidRPr="007032A4">
              <w:rPr>
                <w:sz w:val="22"/>
                <w:szCs w:val="22"/>
              </w:rPr>
              <w:t>80,0</w:t>
            </w:r>
          </w:p>
        </w:tc>
        <w:tc>
          <w:tcPr>
            <w:tcW w:w="419" w:type="pct"/>
            <w:vAlign w:val="center"/>
          </w:tcPr>
          <w:p w:rsidR="00B13857" w:rsidRPr="007032A4" w:rsidRDefault="001B05C9" w:rsidP="00467874">
            <w:pPr>
              <w:widowControl w:val="0"/>
              <w:autoSpaceDE w:val="0"/>
              <w:autoSpaceDN w:val="0"/>
              <w:adjustRightInd w:val="0"/>
              <w:jc w:val="center"/>
              <w:rPr>
                <w:sz w:val="22"/>
                <w:szCs w:val="22"/>
              </w:rPr>
            </w:pPr>
            <w:r w:rsidRPr="007032A4">
              <w:rPr>
                <w:sz w:val="22"/>
                <w:szCs w:val="22"/>
              </w:rPr>
              <w:t>85,0</w:t>
            </w:r>
          </w:p>
        </w:tc>
      </w:tr>
      <w:tr w:rsidR="00B13857" w:rsidRPr="007032A4" w:rsidTr="00467874">
        <w:tblPrEx>
          <w:tblLook w:val="04A0"/>
        </w:tblPrEx>
        <w:tc>
          <w:tcPr>
            <w:tcW w:w="226" w:type="pct"/>
            <w:vMerge w:val="restart"/>
          </w:tcPr>
          <w:p w:rsidR="00B13857" w:rsidRPr="007032A4" w:rsidRDefault="00B13857"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2</w:t>
            </w:r>
          </w:p>
        </w:tc>
        <w:tc>
          <w:tcPr>
            <w:tcW w:w="1425" w:type="pct"/>
          </w:tcPr>
          <w:p w:rsidR="00B13857" w:rsidRPr="007032A4" w:rsidRDefault="00763855" w:rsidP="00763855">
            <w:pPr>
              <w:widowControl w:val="0"/>
              <w:autoSpaceDE w:val="0"/>
              <w:autoSpaceDN w:val="0"/>
              <w:adjustRightInd w:val="0"/>
              <w:jc w:val="center"/>
              <w:rPr>
                <w:bCs/>
                <w:sz w:val="22"/>
                <w:szCs w:val="22"/>
              </w:rPr>
            </w:pPr>
            <w:r w:rsidRPr="007032A4">
              <w:rPr>
                <w:sz w:val="22"/>
                <w:szCs w:val="22"/>
              </w:rPr>
              <w:t xml:space="preserve">Уровень удовлетворенности жителей услугами </w:t>
            </w:r>
            <w:r w:rsidR="00B13857" w:rsidRPr="007032A4">
              <w:rPr>
                <w:b/>
                <w:bCs/>
                <w:sz w:val="22"/>
                <w:szCs w:val="22"/>
              </w:rPr>
              <w:t>общеобразовательны</w:t>
            </w:r>
            <w:r w:rsidRPr="007032A4">
              <w:rPr>
                <w:b/>
                <w:bCs/>
                <w:sz w:val="22"/>
                <w:szCs w:val="22"/>
              </w:rPr>
              <w:t>х</w:t>
            </w:r>
            <w:r w:rsidR="00B13857" w:rsidRPr="007032A4">
              <w:rPr>
                <w:b/>
                <w:bCs/>
                <w:sz w:val="22"/>
                <w:szCs w:val="22"/>
              </w:rPr>
              <w:t xml:space="preserve"> учреждени</w:t>
            </w:r>
            <w:r w:rsidRPr="007032A4">
              <w:rPr>
                <w:b/>
                <w:bCs/>
                <w:sz w:val="22"/>
                <w:szCs w:val="22"/>
              </w:rPr>
              <w:t>й</w:t>
            </w:r>
            <w:r w:rsidR="00B13857" w:rsidRPr="007032A4">
              <w:rPr>
                <w:b/>
                <w:bCs/>
                <w:sz w:val="22"/>
                <w:szCs w:val="22"/>
              </w:rPr>
              <w:t xml:space="preserve"> </w:t>
            </w:r>
            <w:r w:rsidR="00B13857" w:rsidRPr="007032A4">
              <w:rPr>
                <w:sz w:val="22"/>
                <w:szCs w:val="22"/>
              </w:rPr>
              <w:t>(всего по Гатчинскому муниципальному району)</w:t>
            </w:r>
          </w:p>
        </w:tc>
        <w:tc>
          <w:tcPr>
            <w:tcW w:w="899" w:type="pct"/>
            <w:vMerge w:val="restart"/>
            <w:vAlign w:val="center"/>
          </w:tcPr>
          <w:p w:rsidR="00B13857" w:rsidRPr="007032A4" w:rsidRDefault="001F3878" w:rsidP="00B13857">
            <w:pPr>
              <w:widowControl w:val="0"/>
              <w:autoSpaceDE w:val="0"/>
              <w:autoSpaceDN w:val="0"/>
              <w:adjustRightInd w:val="0"/>
              <w:jc w:val="center"/>
              <w:rPr>
                <w:sz w:val="22"/>
                <w:szCs w:val="22"/>
              </w:rPr>
            </w:pPr>
            <w:r w:rsidRPr="007032A4">
              <w:rPr>
                <w:sz w:val="22"/>
                <w:szCs w:val="22"/>
              </w:rPr>
              <w:t>процент от опрошенных</w:t>
            </w:r>
          </w:p>
        </w:tc>
        <w:tc>
          <w:tcPr>
            <w:tcW w:w="351"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90,0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90,0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90,0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bCs/>
                <w:sz w:val="22"/>
                <w:szCs w:val="22"/>
              </w:rPr>
              <w:t>92,5</w:t>
            </w:r>
          </w:p>
        </w:tc>
        <w:tc>
          <w:tcPr>
            <w:tcW w:w="420" w:type="pct"/>
            <w:vAlign w:val="center"/>
          </w:tcPr>
          <w:p w:rsidR="00B13857" w:rsidRPr="007032A4" w:rsidRDefault="00C3147E" w:rsidP="00467874">
            <w:pPr>
              <w:widowControl w:val="0"/>
              <w:autoSpaceDE w:val="0"/>
              <w:autoSpaceDN w:val="0"/>
              <w:adjustRightInd w:val="0"/>
              <w:jc w:val="center"/>
              <w:rPr>
                <w:sz w:val="22"/>
                <w:szCs w:val="22"/>
              </w:rPr>
            </w:pPr>
            <w:r w:rsidRPr="007032A4">
              <w:rPr>
                <w:sz w:val="22"/>
                <w:szCs w:val="22"/>
              </w:rPr>
              <w:t>95,0</w:t>
            </w:r>
          </w:p>
        </w:tc>
        <w:tc>
          <w:tcPr>
            <w:tcW w:w="419" w:type="pct"/>
            <w:vAlign w:val="center"/>
          </w:tcPr>
          <w:p w:rsidR="00B13857" w:rsidRPr="007032A4" w:rsidRDefault="00C3147E" w:rsidP="00467874">
            <w:pPr>
              <w:widowControl w:val="0"/>
              <w:autoSpaceDE w:val="0"/>
              <w:autoSpaceDN w:val="0"/>
              <w:adjustRightInd w:val="0"/>
              <w:jc w:val="center"/>
              <w:rPr>
                <w:sz w:val="22"/>
                <w:szCs w:val="22"/>
              </w:rPr>
            </w:pPr>
            <w:r w:rsidRPr="007032A4">
              <w:rPr>
                <w:sz w:val="22"/>
                <w:szCs w:val="22"/>
              </w:rPr>
              <w:t>98,0</w:t>
            </w:r>
          </w:p>
        </w:tc>
      </w:tr>
      <w:tr w:rsidR="00B13857" w:rsidRPr="007032A4" w:rsidTr="00467874">
        <w:tblPrEx>
          <w:tblLook w:val="04A0"/>
        </w:tblPrEx>
        <w:tc>
          <w:tcPr>
            <w:tcW w:w="226" w:type="pct"/>
            <w:vMerge/>
          </w:tcPr>
          <w:p w:rsidR="00B13857" w:rsidRPr="007032A4" w:rsidRDefault="00B13857" w:rsidP="00B064D1">
            <w:pPr>
              <w:widowControl w:val="0"/>
              <w:autoSpaceDE w:val="0"/>
              <w:autoSpaceDN w:val="0"/>
              <w:adjustRightInd w:val="0"/>
              <w:jc w:val="center"/>
              <w:rPr>
                <w:sz w:val="22"/>
                <w:szCs w:val="22"/>
              </w:rPr>
            </w:pPr>
          </w:p>
        </w:tc>
        <w:tc>
          <w:tcPr>
            <w:tcW w:w="1425" w:type="pct"/>
          </w:tcPr>
          <w:p w:rsidR="00B13857" w:rsidRPr="007032A4" w:rsidRDefault="00B13857" w:rsidP="00B064D1">
            <w:pPr>
              <w:widowControl w:val="0"/>
              <w:autoSpaceDE w:val="0"/>
              <w:autoSpaceDN w:val="0"/>
              <w:adjustRightInd w:val="0"/>
              <w:jc w:val="center"/>
              <w:rPr>
                <w:bCs/>
                <w:sz w:val="22"/>
                <w:szCs w:val="22"/>
              </w:rPr>
            </w:pPr>
            <w:r w:rsidRPr="007032A4">
              <w:rPr>
                <w:sz w:val="22"/>
                <w:szCs w:val="22"/>
              </w:rPr>
              <w:t>в том числе МО «Город Гатчина»</w:t>
            </w:r>
          </w:p>
        </w:tc>
        <w:tc>
          <w:tcPr>
            <w:tcW w:w="899" w:type="pct"/>
            <w:vMerge/>
            <w:vAlign w:val="center"/>
          </w:tcPr>
          <w:p w:rsidR="00B13857" w:rsidRPr="007032A4" w:rsidRDefault="00B13857" w:rsidP="00B064D1">
            <w:pPr>
              <w:widowControl w:val="0"/>
              <w:autoSpaceDE w:val="0"/>
              <w:autoSpaceDN w:val="0"/>
              <w:adjustRightInd w:val="0"/>
              <w:jc w:val="center"/>
              <w:rPr>
                <w:sz w:val="22"/>
                <w:szCs w:val="22"/>
              </w:rPr>
            </w:pPr>
          </w:p>
        </w:tc>
        <w:tc>
          <w:tcPr>
            <w:tcW w:w="351"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70,0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70,0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70,0</w:t>
            </w:r>
          </w:p>
        </w:tc>
        <w:tc>
          <w:tcPr>
            <w:tcW w:w="420" w:type="pct"/>
            <w:vAlign w:val="center"/>
          </w:tcPr>
          <w:p w:rsidR="00B13857" w:rsidRPr="007032A4" w:rsidRDefault="00B13857" w:rsidP="00467874">
            <w:pPr>
              <w:widowControl w:val="0"/>
              <w:autoSpaceDE w:val="0"/>
              <w:autoSpaceDN w:val="0"/>
              <w:adjustRightInd w:val="0"/>
              <w:jc w:val="center"/>
              <w:rPr>
                <w:sz w:val="22"/>
                <w:szCs w:val="22"/>
              </w:rPr>
            </w:pPr>
            <w:r w:rsidRPr="007032A4">
              <w:rPr>
                <w:sz w:val="22"/>
                <w:szCs w:val="22"/>
              </w:rPr>
              <w:t>70,0</w:t>
            </w:r>
          </w:p>
        </w:tc>
        <w:tc>
          <w:tcPr>
            <w:tcW w:w="420" w:type="pct"/>
            <w:vAlign w:val="center"/>
          </w:tcPr>
          <w:p w:rsidR="00B13857" w:rsidRPr="007032A4" w:rsidRDefault="001B05C9" w:rsidP="00467874">
            <w:pPr>
              <w:widowControl w:val="0"/>
              <w:autoSpaceDE w:val="0"/>
              <w:autoSpaceDN w:val="0"/>
              <w:adjustRightInd w:val="0"/>
              <w:jc w:val="center"/>
              <w:rPr>
                <w:sz w:val="22"/>
                <w:szCs w:val="22"/>
              </w:rPr>
            </w:pPr>
            <w:r w:rsidRPr="007032A4">
              <w:rPr>
                <w:sz w:val="22"/>
                <w:szCs w:val="22"/>
              </w:rPr>
              <w:t>75,0</w:t>
            </w:r>
          </w:p>
        </w:tc>
        <w:tc>
          <w:tcPr>
            <w:tcW w:w="419" w:type="pct"/>
            <w:vAlign w:val="center"/>
          </w:tcPr>
          <w:p w:rsidR="00B13857" w:rsidRPr="007032A4" w:rsidRDefault="001B05C9" w:rsidP="00467874">
            <w:pPr>
              <w:widowControl w:val="0"/>
              <w:autoSpaceDE w:val="0"/>
              <w:autoSpaceDN w:val="0"/>
              <w:adjustRightInd w:val="0"/>
              <w:jc w:val="center"/>
              <w:rPr>
                <w:sz w:val="22"/>
                <w:szCs w:val="22"/>
              </w:rPr>
            </w:pPr>
            <w:r w:rsidRPr="007032A4">
              <w:rPr>
                <w:sz w:val="22"/>
                <w:szCs w:val="22"/>
              </w:rPr>
              <w:t>80,0</w:t>
            </w:r>
          </w:p>
        </w:tc>
      </w:tr>
      <w:tr w:rsidR="00E6370D" w:rsidRPr="007032A4" w:rsidTr="00467874">
        <w:tblPrEx>
          <w:tblLook w:val="04A0"/>
        </w:tblPrEx>
        <w:tc>
          <w:tcPr>
            <w:tcW w:w="226" w:type="pct"/>
            <w:vMerge w:val="restart"/>
          </w:tcPr>
          <w:p w:rsidR="00E6370D" w:rsidRPr="007032A4" w:rsidRDefault="00E6370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3</w:t>
            </w:r>
          </w:p>
        </w:tc>
        <w:tc>
          <w:tcPr>
            <w:tcW w:w="1425" w:type="pct"/>
          </w:tcPr>
          <w:p w:rsidR="00E6370D" w:rsidRPr="007032A4" w:rsidRDefault="00763855" w:rsidP="00B064D1">
            <w:pPr>
              <w:widowControl w:val="0"/>
              <w:autoSpaceDE w:val="0"/>
              <w:autoSpaceDN w:val="0"/>
              <w:adjustRightInd w:val="0"/>
              <w:jc w:val="center"/>
              <w:rPr>
                <w:sz w:val="22"/>
                <w:szCs w:val="22"/>
              </w:rPr>
            </w:pPr>
            <w:r w:rsidRPr="007032A4">
              <w:rPr>
                <w:sz w:val="22"/>
                <w:szCs w:val="22"/>
              </w:rPr>
              <w:t xml:space="preserve">Уровень удовлетворенности жителей услугами учреждений </w:t>
            </w:r>
            <w:r w:rsidR="00E6370D" w:rsidRPr="007032A4">
              <w:rPr>
                <w:b/>
                <w:bCs/>
                <w:sz w:val="22"/>
                <w:szCs w:val="22"/>
              </w:rPr>
              <w:t>дополнительного образования</w:t>
            </w:r>
            <w:r w:rsidR="00E6370D" w:rsidRPr="007032A4">
              <w:rPr>
                <w:bCs/>
                <w:sz w:val="22"/>
                <w:szCs w:val="22"/>
              </w:rPr>
              <w:t xml:space="preserve"> </w:t>
            </w:r>
          </w:p>
        </w:tc>
        <w:tc>
          <w:tcPr>
            <w:tcW w:w="899" w:type="pct"/>
            <w:vMerge w:val="restart"/>
            <w:vAlign w:val="center"/>
          </w:tcPr>
          <w:p w:rsidR="00E6370D" w:rsidRPr="007032A4" w:rsidRDefault="001F3878" w:rsidP="00B064D1">
            <w:pPr>
              <w:widowControl w:val="0"/>
              <w:autoSpaceDE w:val="0"/>
              <w:autoSpaceDN w:val="0"/>
              <w:adjustRightInd w:val="0"/>
              <w:jc w:val="center"/>
              <w:rPr>
                <w:sz w:val="22"/>
                <w:szCs w:val="22"/>
              </w:rPr>
            </w:pPr>
            <w:r w:rsidRPr="007032A4">
              <w:rPr>
                <w:sz w:val="22"/>
                <w:szCs w:val="22"/>
              </w:rPr>
              <w:t>процент от опрошенных</w:t>
            </w:r>
          </w:p>
        </w:tc>
        <w:tc>
          <w:tcPr>
            <w:tcW w:w="351"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74</w:t>
            </w:r>
            <w:r w:rsidR="00C3147E"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72</w:t>
            </w:r>
            <w:r w:rsidR="00C3147E"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72</w:t>
            </w:r>
            <w:r w:rsidR="00C3147E"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73</w:t>
            </w:r>
            <w:r w:rsidR="00C3147E" w:rsidRPr="007032A4">
              <w:rPr>
                <w:bCs/>
                <w:sz w:val="22"/>
                <w:szCs w:val="22"/>
              </w:rPr>
              <w:t>,0</w:t>
            </w:r>
          </w:p>
        </w:tc>
        <w:tc>
          <w:tcPr>
            <w:tcW w:w="420" w:type="pct"/>
            <w:vAlign w:val="center"/>
          </w:tcPr>
          <w:p w:rsidR="00E6370D" w:rsidRPr="007032A4" w:rsidRDefault="00C3147E" w:rsidP="00467874">
            <w:pPr>
              <w:widowControl w:val="0"/>
              <w:autoSpaceDE w:val="0"/>
              <w:autoSpaceDN w:val="0"/>
              <w:adjustRightInd w:val="0"/>
              <w:jc w:val="center"/>
              <w:rPr>
                <w:sz w:val="22"/>
                <w:szCs w:val="22"/>
              </w:rPr>
            </w:pPr>
            <w:r w:rsidRPr="007032A4">
              <w:rPr>
                <w:sz w:val="22"/>
                <w:szCs w:val="22"/>
              </w:rPr>
              <w:t>78,0</w:t>
            </w:r>
          </w:p>
        </w:tc>
        <w:tc>
          <w:tcPr>
            <w:tcW w:w="419" w:type="pct"/>
            <w:vAlign w:val="center"/>
          </w:tcPr>
          <w:p w:rsidR="00E6370D" w:rsidRPr="007032A4" w:rsidRDefault="00C3147E" w:rsidP="00467874">
            <w:pPr>
              <w:widowControl w:val="0"/>
              <w:autoSpaceDE w:val="0"/>
              <w:autoSpaceDN w:val="0"/>
              <w:adjustRightInd w:val="0"/>
              <w:jc w:val="center"/>
              <w:rPr>
                <w:sz w:val="22"/>
                <w:szCs w:val="22"/>
              </w:rPr>
            </w:pPr>
            <w:r w:rsidRPr="007032A4">
              <w:rPr>
                <w:sz w:val="22"/>
                <w:szCs w:val="22"/>
              </w:rPr>
              <w:t>85,0</w:t>
            </w:r>
          </w:p>
        </w:tc>
      </w:tr>
      <w:tr w:rsidR="00E6370D" w:rsidRPr="007032A4" w:rsidTr="00467874">
        <w:tblPrEx>
          <w:tblLook w:val="04A0"/>
        </w:tblPrEx>
        <w:tc>
          <w:tcPr>
            <w:tcW w:w="226" w:type="pct"/>
            <w:vMerge/>
          </w:tcPr>
          <w:p w:rsidR="00E6370D" w:rsidRPr="007032A4" w:rsidRDefault="00E6370D" w:rsidP="00B064D1">
            <w:pPr>
              <w:widowControl w:val="0"/>
              <w:autoSpaceDE w:val="0"/>
              <w:autoSpaceDN w:val="0"/>
              <w:adjustRightInd w:val="0"/>
              <w:jc w:val="center"/>
              <w:rPr>
                <w:sz w:val="22"/>
                <w:szCs w:val="22"/>
              </w:rPr>
            </w:pPr>
          </w:p>
        </w:tc>
        <w:tc>
          <w:tcPr>
            <w:tcW w:w="1425" w:type="pct"/>
          </w:tcPr>
          <w:p w:rsidR="00E6370D" w:rsidRPr="007032A4" w:rsidRDefault="00E6370D"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E6370D" w:rsidRPr="007032A4" w:rsidRDefault="00E6370D" w:rsidP="00B064D1">
            <w:pPr>
              <w:widowControl w:val="0"/>
              <w:autoSpaceDE w:val="0"/>
              <w:autoSpaceDN w:val="0"/>
              <w:adjustRightInd w:val="0"/>
              <w:jc w:val="center"/>
              <w:rPr>
                <w:sz w:val="22"/>
                <w:szCs w:val="22"/>
              </w:rPr>
            </w:pPr>
          </w:p>
        </w:tc>
        <w:tc>
          <w:tcPr>
            <w:tcW w:w="351"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37</w:t>
            </w:r>
            <w:r w:rsidR="001B05C9"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37</w:t>
            </w:r>
            <w:r w:rsidR="001B05C9"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39</w:t>
            </w:r>
            <w:r w:rsidR="001B05C9" w:rsidRPr="007032A4">
              <w:rPr>
                <w:bCs/>
                <w:sz w:val="22"/>
                <w:szCs w:val="22"/>
              </w:rPr>
              <w:t>,0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bCs/>
                <w:sz w:val="22"/>
                <w:szCs w:val="22"/>
              </w:rPr>
              <w:t>38</w:t>
            </w:r>
            <w:r w:rsidR="001B05C9" w:rsidRPr="007032A4">
              <w:rPr>
                <w:bCs/>
                <w:sz w:val="22"/>
                <w:szCs w:val="22"/>
              </w:rPr>
              <w:t>,0</w:t>
            </w:r>
          </w:p>
        </w:tc>
        <w:tc>
          <w:tcPr>
            <w:tcW w:w="420" w:type="pct"/>
            <w:vAlign w:val="center"/>
          </w:tcPr>
          <w:p w:rsidR="00E6370D" w:rsidRPr="007032A4" w:rsidRDefault="001B05C9" w:rsidP="00467874">
            <w:pPr>
              <w:widowControl w:val="0"/>
              <w:autoSpaceDE w:val="0"/>
              <w:autoSpaceDN w:val="0"/>
              <w:adjustRightInd w:val="0"/>
              <w:jc w:val="center"/>
              <w:rPr>
                <w:sz w:val="22"/>
                <w:szCs w:val="22"/>
              </w:rPr>
            </w:pPr>
            <w:r w:rsidRPr="007032A4">
              <w:rPr>
                <w:sz w:val="22"/>
                <w:szCs w:val="22"/>
              </w:rPr>
              <w:t>50,0</w:t>
            </w:r>
          </w:p>
        </w:tc>
        <w:tc>
          <w:tcPr>
            <w:tcW w:w="419" w:type="pct"/>
            <w:vAlign w:val="center"/>
          </w:tcPr>
          <w:p w:rsidR="00E6370D" w:rsidRPr="007032A4" w:rsidRDefault="001B05C9" w:rsidP="00467874">
            <w:pPr>
              <w:widowControl w:val="0"/>
              <w:autoSpaceDE w:val="0"/>
              <w:autoSpaceDN w:val="0"/>
              <w:adjustRightInd w:val="0"/>
              <w:jc w:val="center"/>
              <w:rPr>
                <w:sz w:val="22"/>
                <w:szCs w:val="22"/>
              </w:rPr>
            </w:pPr>
            <w:r w:rsidRPr="007032A4">
              <w:rPr>
                <w:sz w:val="22"/>
                <w:szCs w:val="22"/>
              </w:rPr>
              <w:t>65,0</w:t>
            </w:r>
          </w:p>
        </w:tc>
      </w:tr>
      <w:tr w:rsidR="00E6370D" w:rsidRPr="007032A4" w:rsidTr="006352D7">
        <w:tblPrEx>
          <w:tblLook w:val="04A0"/>
        </w:tblPrEx>
        <w:tc>
          <w:tcPr>
            <w:tcW w:w="226" w:type="pct"/>
            <w:vMerge w:val="restart"/>
          </w:tcPr>
          <w:p w:rsidR="00E6370D" w:rsidRPr="007032A4" w:rsidRDefault="00E6370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4</w:t>
            </w:r>
          </w:p>
        </w:tc>
        <w:tc>
          <w:tcPr>
            <w:tcW w:w="1425" w:type="pct"/>
          </w:tcPr>
          <w:p w:rsidR="00E6370D" w:rsidRPr="007032A4" w:rsidRDefault="00763855" w:rsidP="00763855">
            <w:pPr>
              <w:widowControl w:val="0"/>
              <w:autoSpaceDE w:val="0"/>
              <w:autoSpaceDN w:val="0"/>
              <w:adjustRightInd w:val="0"/>
              <w:jc w:val="center"/>
              <w:rPr>
                <w:sz w:val="22"/>
                <w:szCs w:val="22"/>
              </w:rPr>
            </w:pPr>
            <w:r w:rsidRPr="007032A4">
              <w:rPr>
                <w:sz w:val="22"/>
                <w:szCs w:val="22"/>
              </w:rPr>
              <w:t xml:space="preserve">Уровень удовлетворенности жителей услугами </w:t>
            </w:r>
            <w:r w:rsidR="00E6370D" w:rsidRPr="007032A4">
              <w:rPr>
                <w:b/>
                <w:sz w:val="22"/>
                <w:szCs w:val="22"/>
              </w:rPr>
              <w:t>учреждениях к</w:t>
            </w:r>
            <w:r w:rsidRPr="007032A4">
              <w:rPr>
                <w:b/>
                <w:sz w:val="22"/>
                <w:szCs w:val="22"/>
              </w:rPr>
              <w:t>ультурно-досугового типа</w:t>
            </w:r>
          </w:p>
        </w:tc>
        <w:tc>
          <w:tcPr>
            <w:tcW w:w="899" w:type="pct"/>
            <w:vMerge w:val="restart"/>
            <w:vAlign w:val="center"/>
          </w:tcPr>
          <w:p w:rsidR="00E6370D" w:rsidRPr="007032A4" w:rsidRDefault="001F3878" w:rsidP="00B064D1">
            <w:pPr>
              <w:widowControl w:val="0"/>
              <w:autoSpaceDE w:val="0"/>
              <w:autoSpaceDN w:val="0"/>
              <w:adjustRightInd w:val="0"/>
              <w:jc w:val="center"/>
              <w:rPr>
                <w:sz w:val="22"/>
                <w:szCs w:val="22"/>
              </w:rPr>
            </w:pPr>
            <w:r w:rsidRPr="007032A4">
              <w:rPr>
                <w:sz w:val="22"/>
                <w:szCs w:val="22"/>
              </w:rPr>
              <w:t>процент от опрошенных</w:t>
            </w:r>
          </w:p>
        </w:tc>
        <w:tc>
          <w:tcPr>
            <w:tcW w:w="351" w:type="pct"/>
            <w:shd w:val="clear" w:color="auto" w:fill="EEECE1" w:themeFill="background2"/>
            <w:vAlign w:val="center"/>
          </w:tcPr>
          <w:p w:rsidR="00E6370D" w:rsidRPr="007032A4" w:rsidRDefault="00E6370D" w:rsidP="00467874">
            <w:pPr>
              <w:widowControl w:val="0"/>
              <w:autoSpaceDE w:val="0"/>
              <w:autoSpaceDN w:val="0"/>
              <w:adjustRightInd w:val="0"/>
              <w:jc w:val="center"/>
              <w:rPr>
                <w:sz w:val="22"/>
                <w:szCs w:val="22"/>
              </w:rPr>
            </w:pP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41,2</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38,0</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37,5</w:t>
            </w:r>
          </w:p>
        </w:tc>
        <w:tc>
          <w:tcPr>
            <w:tcW w:w="420" w:type="pct"/>
            <w:vAlign w:val="center"/>
          </w:tcPr>
          <w:p w:rsidR="00E6370D" w:rsidRPr="007032A4" w:rsidRDefault="00C3147E" w:rsidP="001B05C9">
            <w:pPr>
              <w:widowControl w:val="0"/>
              <w:autoSpaceDE w:val="0"/>
              <w:autoSpaceDN w:val="0"/>
              <w:adjustRightInd w:val="0"/>
              <w:jc w:val="center"/>
              <w:rPr>
                <w:sz w:val="22"/>
                <w:szCs w:val="22"/>
              </w:rPr>
            </w:pPr>
            <w:r w:rsidRPr="007032A4">
              <w:rPr>
                <w:sz w:val="22"/>
                <w:szCs w:val="22"/>
              </w:rPr>
              <w:t>45,0</w:t>
            </w:r>
          </w:p>
        </w:tc>
        <w:tc>
          <w:tcPr>
            <w:tcW w:w="419" w:type="pct"/>
            <w:vAlign w:val="center"/>
          </w:tcPr>
          <w:p w:rsidR="00E6370D" w:rsidRPr="007032A4" w:rsidRDefault="00C3147E" w:rsidP="00467874">
            <w:pPr>
              <w:widowControl w:val="0"/>
              <w:autoSpaceDE w:val="0"/>
              <w:autoSpaceDN w:val="0"/>
              <w:adjustRightInd w:val="0"/>
              <w:jc w:val="center"/>
              <w:rPr>
                <w:sz w:val="22"/>
                <w:szCs w:val="22"/>
              </w:rPr>
            </w:pPr>
            <w:r w:rsidRPr="007032A4">
              <w:rPr>
                <w:sz w:val="22"/>
                <w:szCs w:val="22"/>
              </w:rPr>
              <w:t>65,0</w:t>
            </w:r>
          </w:p>
        </w:tc>
      </w:tr>
      <w:tr w:rsidR="00E6370D" w:rsidRPr="007032A4" w:rsidTr="006352D7">
        <w:tblPrEx>
          <w:tblLook w:val="04A0"/>
        </w:tblPrEx>
        <w:tc>
          <w:tcPr>
            <w:tcW w:w="226" w:type="pct"/>
            <w:vMerge/>
          </w:tcPr>
          <w:p w:rsidR="00E6370D" w:rsidRPr="007032A4" w:rsidRDefault="00E6370D" w:rsidP="00B064D1">
            <w:pPr>
              <w:widowControl w:val="0"/>
              <w:autoSpaceDE w:val="0"/>
              <w:autoSpaceDN w:val="0"/>
              <w:adjustRightInd w:val="0"/>
              <w:jc w:val="center"/>
              <w:rPr>
                <w:sz w:val="22"/>
                <w:szCs w:val="22"/>
              </w:rPr>
            </w:pPr>
          </w:p>
        </w:tc>
        <w:tc>
          <w:tcPr>
            <w:tcW w:w="1425" w:type="pct"/>
          </w:tcPr>
          <w:p w:rsidR="00E6370D" w:rsidRPr="007032A4" w:rsidRDefault="00E6370D"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E6370D" w:rsidRPr="007032A4" w:rsidRDefault="00E6370D" w:rsidP="00B064D1">
            <w:pPr>
              <w:widowControl w:val="0"/>
              <w:autoSpaceDE w:val="0"/>
              <w:autoSpaceDN w:val="0"/>
              <w:adjustRightInd w:val="0"/>
              <w:jc w:val="center"/>
              <w:rPr>
                <w:sz w:val="22"/>
                <w:szCs w:val="22"/>
              </w:rPr>
            </w:pPr>
          </w:p>
        </w:tc>
        <w:tc>
          <w:tcPr>
            <w:tcW w:w="351" w:type="pct"/>
            <w:shd w:val="clear" w:color="auto" w:fill="EEECE1" w:themeFill="background2"/>
            <w:vAlign w:val="center"/>
          </w:tcPr>
          <w:p w:rsidR="00E6370D" w:rsidRPr="007032A4" w:rsidRDefault="00E6370D" w:rsidP="00467874">
            <w:pPr>
              <w:widowControl w:val="0"/>
              <w:autoSpaceDE w:val="0"/>
              <w:autoSpaceDN w:val="0"/>
              <w:adjustRightInd w:val="0"/>
              <w:jc w:val="center"/>
              <w:rPr>
                <w:sz w:val="22"/>
                <w:szCs w:val="22"/>
              </w:rPr>
            </w:pP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6,3</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10,2</w:t>
            </w:r>
          </w:p>
        </w:tc>
        <w:tc>
          <w:tcPr>
            <w:tcW w:w="420" w:type="pct"/>
            <w:vAlign w:val="center"/>
          </w:tcPr>
          <w:p w:rsidR="00E6370D" w:rsidRPr="007032A4" w:rsidRDefault="00E6370D" w:rsidP="00467874">
            <w:pPr>
              <w:widowControl w:val="0"/>
              <w:autoSpaceDE w:val="0"/>
              <w:autoSpaceDN w:val="0"/>
              <w:adjustRightInd w:val="0"/>
              <w:jc w:val="center"/>
              <w:rPr>
                <w:sz w:val="22"/>
                <w:szCs w:val="22"/>
              </w:rPr>
            </w:pPr>
            <w:r w:rsidRPr="007032A4">
              <w:rPr>
                <w:sz w:val="22"/>
                <w:szCs w:val="22"/>
              </w:rPr>
              <w:t>10,1</w:t>
            </w:r>
          </w:p>
        </w:tc>
        <w:tc>
          <w:tcPr>
            <w:tcW w:w="420" w:type="pct"/>
            <w:vAlign w:val="center"/>
          </w:tcPr>
          <w:p w:rsidR="00E6370D" w:rsidRPr="007032A4" w:rsidRDefault="001B05C9" w:rsidP="00467874">
            <w:pPr>
              <w:widowControl w:val="0"/>
              <w:autoSpaceDE w:val="0"/>
              <w:autoSpaceDN w:val="0"/>
              <w:adjustRightInd w:val="0"/>
              <w:jc w:val="center"/>
              <w:rPr>
                <w:sz w:val="22"/>
                <w:szCs w:val="22"/>
              </w:rPr>
            </w:pPr>
            <w:r w:rsidRPr="007032A4">
              <w:rPr>
                <w:sz w:val="22"/>
                <w:szCs w:val="22"/>
              </w:rPr>
              <w:t>25,0</w:t>
            </w:r>
          </w:p>
        </w:tc>
        <w:tc>
          <w:tcPr>
            <w:tcW w:w="419" w:type="pct"/>
            <w:vAlign w:val="center"/>
          </w:tcPr>
          <w:p w:rsidR="00E6370D" w:rsidRPr="007032A4" w:rsidRDefault="001B05C9" w:rsidP="00467874">
            <w:pPr>
              <w:widowControl w:val="0"/>
              <w:autoSpaceDE w:val="0"/>
              <w:autoSpaceDN w:val="0"/>
              <w:adjustRightInd w:val="0"/>
              <w:jc w:val="center"/>
              <w:rPr>
                <w:sz w:val="22"/>
                <w:szCs w:val="22"/>
              </w:rPr>
            </w:pPr>
            <w:r w:rsidRPr="007032A4">
              <w:rPr>
                <w:sz w:val="22"/>
                <w:szCs w:val="22"/>
              </w:rPr>
              <w:t>65,0</w:t>
            </w:r>
          </w:p>
        </w:tc>
      </w:tr>
      <w:tr w:rsidR="004D535D" w:rsidRPr="007032A4" w:rsidTr="006352D7">
        <w:tblPrEx>
          <w:tblLook w:val="04A0"/>
        </w:tblPrEx>
        <w:tc>
          <w:tcPr>
            <w:tcW w:w="226" w:type="pct"/>
            <w:vMerge w:val="restart"/>
          </w:tcPr>
          <w:p w:rsidR="004D535D" w:rsidRPr="007032A4" w:rsidRDefault="004D535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5</w:t>
            </w: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b/>
                <w:sz w:val="22"/>
                <w:szCs w:val="22"/>
              </w:rPr>
              <w:t>Оборот розничной торговли</w:t>
            </w:r>
            <w:r w:rsidRPr="007032A4">
              <w:rPr>
                <w:sz w:val="22"/>
                <w:szCs w:val="22"/>
              </w:rPr>
              <w:t xml:space="preserve">, общественного питания и объем платных услуг населению по организациям, не относящимся к субъектам малого предпринимательства </w:t>
            </w:r>
          </w:p>
        </w:tc>
        <w:tc>
          <w:tcPr>
            <w:tcW w:w="899" w:type="pct"/>
            <w:vMerge w:val="restart"/>
            <w:vAlign w:val="center"/>
          </w:tcPr>
          <w:p w:rsidR="004D535D" w:rsidRPr="007032A4" w:rsidRDefault="004D535D" w:rsidP="00B064D1">
            <w:pPr>
              <w:widowControl w:val="0"/>
              <w:autoSpaceDE w:val="0"/>
              <w:autoSpaceDN w:val="0"/>
              <w:adjustRightInd w:val="0"/>
              <w:jc w:val="center"/>
              <w:rPr>
                <w:sz w:val="22"/>
                <w:szCs w:val="22"/>
              </w:rPr>
            </w:pPr>
            <w:r w:rsidRPr="007032A4">
              <w:rPr>
                <w:sz w:val="22"/>
                <w:szCs w:val="22"/>
              </w:rPr>
              <w:t>тыс.руб./чел.</w:t>
            </w: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55,5</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75,0</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250,0</w:t>
            </w:r>
          </w:p>
        </w:tc>
        <w:tc>
          <w:tcPr>
            <w:tcW w:w="419"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450,0</w:t>
            </w:r>
          </w:p>
        </w:tc>
      </w:tr>
      <w:tr w:rsidR="004D535D" w:rsidRPr="007032A4" w:rsidTr="006352D7">
        <w:tblPrEx>
          <w:tblLook w:val="04A0"/>
        </w:tblPrEx>
        <w:tc>
          <w:tcPr>
            <w:tcW w:w="226" w:type="pct"/>
            <w:vMerge/>
          </w:tcPr>
          <w:p w:rsidR="004D535D" w:rsidRPr="007032A4" w:rsidRDefault="004D535D" w:rsidP="00B064D1">
            <w:pPr>
              <w:widowControl w:val="0"/>
              <w:autoSpaceDE w:val="0"/>
              <w:autoSpaceDN w:val="0"/>
              <w:adjustRightInd w:val="0"/>
              <w:jc w:val="center"/>
              <w:rPr>
                <w:sz w:val="22"/>
                <w:szCs w:val="22"/>
              </w:rPr>
            </w:pP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4D535D" w:rsidRPr="007032A4" w:rsidRDefault="004D535D" w:rsidP="00B064D1">
            <w:pPr>
              <w:widowControl w:val="0"/>
              <w:autoSpaceDE w:val="0"/>
              <w:autoSpaceDN w:val="0"/>
              <w:adjustRightInd w:val="0"/>
              <w:jc w:val="center"/>
              <w:rPr>
                <w:sz w:val="22"/>
                <w:szCs w:val="22"/>
              </w:rPr>
            </w:pP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94,3</w:t>
            </w:r>
          </w:p>
        </w:tc>
        <w:tc>
          <w:tcPr>
            <w:tcW w:w="420" w:type="pct"/>
            <w:vAlign w:val="center"/>
          </w:tcPr>
          <w:p w:rsidR="004D535D" w:rsidRPr="007032A4" w:rsidRDefault="001B05C9" w:rsidP="00467874">
            <w:pPr>
              <w:widowControl w:val="0"/>
              <w:autoSpaceDE w:val="0"/>
              <w:autoSpaceDN w:val="0"/>
              <w:adjustRightInd w:val="0"/>
              <w:jc w:val="center"/>
              <w:rPr>
                <w:sz w:val="22"/>
                <w:szCs w:val="22"/>
              </w:rPr>
            </w:pPr>
            <w:r w:rsidRPr="007032A4">
              <w:rPr>
                <w:sz w:val="22"/>
                <w:szCs w:val="22"/>
              </w:rPr>
              <w:t>120,0</w:t>
            </w:r>
          </w:p>
        </w:tc>
        <w:tc>
          <w:tcPr>
            <w:tcW w:w="420" w:type="pct"/>
            <w:vAlign w:val="center"/>
          </w:tcPr>
          <w:p w:rsidR="004D535D" w:rsidRPr="007032A4" w:rsidRDefault="001B05C9" w:rsidP="00467874">
            <w:pPr>
              <w:widowControl w:val="0"/>
              <w:autoSpaceDE w:val="0"/>
              <w:autoSpaceDN w:val="0"/>
              <w:adjustRightInd w:val="0"/>
              <w:jc w:val="center"/>
              <w:rPr>
                <w:sz w:val="22"/>
                <w:szCs w:val="22"/>
              </w:rPr>
            </w:pPr>
            <w:r w:rsidRPr="007032A4">
              <w:rPr>
                <w:sz w:val="22"/>
                <w:szCs w:val="22"/>
              </w:rPr>
              <w:t>350,0</w:t>
            </w:r>
          </w:p>
        </w:tc>
        <w:tc>
          <w:tcPr>
            <w:tcW w:w="419" w:type="pct"/>
            <w:vAlign w:val="center"/>
          </w:tcPr>
          <w:p w:rsidR="004D535D" w:rsidRPr="007032A4" w:rsidRDefault="001B05C9" w:rsidP="00467874">
            <w:pPr>
              <w:widowControl w:val="0"/>
              <w:autoSpaceDE w:val="0"/>
              <w:autoSpaceDN w:val="0"/>
              <w:adjustRightInd w:val="0"/>
              <w:jc w:val="center"/>
              <w:rPr>
                <w:sz w:val="22"/>
                <w:szCs w:val="22"/>
              </w:rPr>
            </w:pPr>
            <w:r w:rsidRPr="007032A4">
              <w:rPr>
                <w:sz w:val="22"/>
                <w:szCs w:val="22"/>
              </w:rPr>
              <w:t>600,0</w:t>
            </w:r>
          </w:p>
        </w:tc>
      </w:tr>
      <w:tr w:rsidR="001B05C9" w:rsidRPr="007032A4" w:rsidTr="006352D7">
        <w:tblPrEx>
          <w:tblLook w:val="04A0"/>
        </w:tblPrEx>
        <w:tc>
          <w:tcPr>
            <w:tcW w:w="226" w:type="pct"/>
            <w:vMerge w:val="restart"/>
          </w:tcPr>
          <w:p w:rsidR="001B05C9" w:rsidRPr="007032A4" w:rsidRDefault="001B05C9" w:rsidP="00763855">
            <w:pPr>
              <w:widowControl w:val="0"/>
              <w:autoSpaceDE w:val="0"/>
              <w:autoSpaceDN w:val="0"/>
              <w:adjustRightInd w:val="0"/>
              <w:jc w:val="center"/>
              <w:rPr>
                <w:sz w:val="22"/>
                <w:szCs w:val="22"/>
              </w:rPr>
            </w:pPr>
            <w:r w:rsidRPr="007032A4">
              <w:rPr>
                <w:sz w:val="22"/>
                <w:szCs w:val="22"/>
              </w:rPr>
              <w:t>4.6</w:t>
            </w:r>
          </w:p>
        </w:tc>
        <w:tc>
          <w:tcPr>
            <w:tcW w:w="1425" w:type="pct"/>
          </w:tcPr>
          <w:p w:rsidR="001B05C9" w:rsidRPr="007032A4" w:rsidRDefault="001B05C9" w:rsidP="00B064D1">
            <w:pPr>
              <w:widowControl w:val="0"/>
              <w:autoSpaceDE w:val="0"/>
              <w:autoSpaceDN w:val="0"/>
              <w:adjustRightInd w:val="0"/>
              <w:jc w:val="center"/>
              <w:rPr>
                <w:sz w:val="22"/>
                <w:szCs w:val="22"/>
              </w:rPr>
            </w:pPr>
            <w:r w:rsidRPr="007032A4">
              <w:rPr>
                <w:sz w:val="22"/>
                <w:szCs w:val="22"/>
              </w:rPr>
              <w:t xml:space="preserve">Единовременная пропускная </w:t>
            </w:r>
          </w:p>
          <w:p w:rsidR="001B05C9" w:rsidRPr="007032A4" w:rsidRDefault="001B05C9" w:rsidP="00B064D1">
            <w:pPr>
              <w:widowControl w:val="0"/>
              <w:autoSpaceDE w:val="0"/>
              <w:autoSpaceDN w:val="0"/>
              <w:adjustRightInd w:val="0"/>
              <w:jc w:val="center"/>
              <w:rPr>
                <w:sz w:val="22"/>
                <w:szCs w:val="22"/>
              </w:rPr>
            </w:pPr>
            <w:r w:rsidRPr="007032A4">
              <w:rPr>
                <w:sz w:val="22"/>
                <w:szCs w:val="22"/>
              </w:rPr>
              <w:t xml:space="preserve">способность </w:t>
            </w:r>
            <w:r w:rsidRPr="007032A4">
              <w:rPr>
                <w:b/>
                <w:sz w:val="22"/>
                <w:szCs w:val="22"/>
              </w:rPr>
              <w:t>спортивных сооружений</w:t>
            </w:r>
          </w:p>
        </w:tc>
        <w:tc>
          <w:tcPr>
            <w:tcW w:w="899" w:type="pct"/>
            <w:vMerge w:val="restart"/>
            <w:vAlign w:val="center"/>
          </w:tcPr>
          <w:p w:rsidR="001B05C9" w:rsidRPr="007032A4" w:rsidRDefault="001B05C9" w:rsidP="00B064D1">
            <w:pPr>
              <w:widowControl w:val="0"/>
              <w:autoSpaceDE w:val="0"/>
              <w:autoSpaceDN w:val="0"/>
              <w:adjustRightInd w:val="0"/>
              <w:jc w:val="center"/>
              <w:rPr>
                <w:sz w:val="22"/>
                <w:szCs w:val="22"/>
              </w:rPr>
            </w:pPr>
            <w:r w:rsidRPr="007032A4">
              <w:rPr>
                <w:sz w:val="22"/>
                <w:szCs w:val="22"/>
              </w:rPr>
              <w:t>процент от норматива</w:t>
            </w:r>
          </w:p>
        </w:tc>
        <w:tc>
          <w:tcPr>
            <w:tcW w:w="351" w:type="pct"/>
            <w:shd w:val="clear" w:color="auto" w:fill="EEECE1" w:themeFill="background2"/>
            <w:vAlign w:val="center"/>
          </w:tcPr>
          <w:p w:rsidR="001B05C9" w:rsidRPr="007032A4" w:rsidRDefault="001B05C9"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1B05C9" w:rsidRPr="007032A4" w:rsidRDefault="001B05C9" w:rsidP="00467874">
            <w:pPr>
              <w:widowControl w:val="0"/>
              <w:autoSpaceDE w:val="0"/>
              <w:autoSpaceDN w:val="0"/>
              <w:adjustRightInd w:val="0"/>
              <w:jc w:val="center"/>
              <w:rPr>
                <w:sz w:val="22"/>
                <w:szCs w:val="22"/>
              </w:rPr>
            </w:pPr>
          </w:p>
        </w:tc>
        <w:tc>
          <w:tcPr>
            <w:tcW w:w="420" w:type="pct"/>
            <w:vAlign w:val="center"/>
          </w:tcPr>
          <w:p w:rsidR="001B05C9" w:rsidRPr="007032A4" w:rsidRDefault="001B05C9" w:rsidP="00467874">
            <w:pPr>
              <w:widowControl w:val="0"/>
              <w:autoSpaceDE w:val="0"/>
              <w:autoSpaceDN w:val="0"/>
              <w:adjustRightInd w:val="0"/>
              <w:jc w:val="center"/>
              <w:rPr>
                <w:sz w:val="22"/>
                <w:szCs w:val="22"/>
              </w:rPr>
            </w:pPr>
            <w:r w:rsidRPr="007032A4">
              <w:rPr>
                <w:sz w:val="22"/>
                <w:szCs w:val="22"/>
              </w:rPr>
              <w:t>12,2</w:t>
            </w:r>
          </w:p>
        </w:tc>
        <w:tc>
          <w:tcPr>
            <w:tcW w:w="420" w:type="pct"/>
            <w:vMerge w:val="restart"/>
            <w:vAlign w:val="center"/>
          </w:tcPr>
          <w:p w:rsidR="001B05C9" w:rsidRPr="007032A4" w:rsidRDefault="001B05C9" w:rsidP="00467874">
            <w:pPr>
              <w:widowControl w:val="0"/>
              <w:autoSpaceDE w:val="0"/>
              <w:autoSpaceDN w:val="0"/>
              <w:adjustRightInd w:val="0"/>
              <w:jc w:val="center"/>
              <w:rPr>
                <w:sz w:val="22"/>
                <w:szCs w:val="22"/>
              </w:rPr>
            </w:pPr>
            <w:r w:rsidRPr="007032A4">
              <w:rPr>
                <w:sz w:val="22"/>
                <w:szCs w:val="22"/>
              </w:rPr>
              <w:t>15,0</w:t>
            </w:r>
          </w:p>
        </w:tc>
        <w:tc>
          <w:tcPr>
            <w:tcW w:w="420" w:type="pct"/>
            <w:vMerge w:val="restart"/>
            <w:vAlign w:val="center"/>
          </w:tcPr>
          <w:p w:rsidR="001B05C9" w:rsidRPr="007032A4" w:rsidRDefault="001B05C9" w:rsidP="00467874">
            <w:pPr>
              <w:widowControl w:val="0"/>
              <w:autoSpaceDE w:val="0"/>
              <w:autoSpaceDN w:val="0"/>
              <w:adjustRightInd w:val="0"/>
              <w:jc w:val="center"/>
              <w:rPr>
                <w:sz w:val="22"/>
                <w:szCs w:val="22"/>
              </w:rPr>
            </w:pPr>
            <w:r w:rsidRPr="007032A4">
              <w:rPr>
                <w:sz w:val="22"/>
                <w:szCs w:val="22"/>
              </w:rPr>
              <w:t>25,0</w:t>
            </w:r>
          </w:p>
        </w:tc>
        <w:tc>
          <w:tcPr>
            <w:tcW w:w="419" w:type="pct"/>
            <w:vMerge w:val="restart"/>
            <w:vAlign w:val="center"/>
          </w:tcPr>
          <w:p w:rsidR="001B05C9" w:rsidRPr="007032A4" w:rsidRDefault="001B05C9" w:rsidP="00467874">
            <w:pPr>
              <w:widowControl w:val="0"/>
              <w:autoSpaceDE w:val="0"/>
              <w:autoSpaceDN w:val="0"/>
              <w:adjustRightInd w:val="0"/>
              <w:jc w:val="center"/>
              <w:rPr>
                <w:sz w:val="22"/>
                <w:szCs w:val="22"/>
              </w:rPr>
            </w:pPr>
            <w:r w:rsidRPr="007032A4">
              <w:rPr>
                <w:sz w:val="22"/>
                <w:szCs w:val="22"/>
              </w:rPr>
              <w:t>50,0</w:t>
            </w:r>
          </w:p>
        </w:tc>
      </w:tr>
      <w:tr w:rsidR="001B05C9" w:rsidRPr="007032A4" w:rsidTr="006352D7">
        <w:tblPrEx>
          <w:tblLook w:val="04A0"/>
        </w:tblPrEx>
        <w:tc>
          <w:tcPr>
            <w:tcW w:w="226" w:type="pct"/>
            <w:vMerge/>
          </w:tcPr>
          <w:p w:rsidR="001B05C9" w:rsidRPr="007032A4" w:rsidRDefault="001B05C9" w:rsidP="00B064D1">
            <w:pPr>
              <w:widowControl w:val="0"/>
              <w:autoSpaceDE w:val="0"/>
              <w:autoSpaceDN w:val="0"/>
              <w:adjustRightInd w:val="0"/>
              <w:jc w:val="center"/>
              <w:rPr>
                <w:sz w:val="22"/>
                <w:szCs w:val="22"/>
              </w:rPr>
            </w:pPr>
          </w:p>
        </w:tc>
        <w:tc>
          <w:tcPr>
            <w:tcW w:w="1425" w:type="pct"/>
          </w:tcPr>
          <w:p w:rsidR="001B05C9" w:rsidRPr="007032A4" w:rsidRDefault="001B05C9"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1B05C9" w:rsidRPr="007032A4" w:rsidRDefault="001B05C9" w:rsidP="00B064D1">
            <w:pPr>
              <w:widowControl w:val="0"/>
              <w:autoSpaceDE w:val="0"/>
              <w:autoSpaceDN w:val="0"/>
              <w:adjustRightInd w:val="0"/>
              <w:jc w:val="center"/>
              <w:rPr>
                <w:sz w:val="22"/>
                <w:szCs w:val="22"/>
              </w:rPr>
            </w:pPr>
          </w:p>
        </w:tc>
        <w:tc>
          <w:tcPr>
            <w:tcW w:w="351" w:type="pct"/>
            <w:shd w:val="clear" w:color="auto" w:fill="EEECE1" w:themeFill="background2"/>
            <w:vAlign w:val="center"/>
          </w:tcPr>
          <w:p w:rsidR="001B05C9" w:rsidRPr="007032A4" w:rsidRDefault="001B05C9"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1B05C9" w:rsidRPr="007032A4" w:rsidRDefault="001B05C9" w:rsidP="00467874">
            <w:pPr>
              <w:widowControl w:val="0"/>
              <w:autoSpaceDE w:val="0"/>
              <w:autoSpaceDN w:val="0"/>
              <w:adjustRightInd w:val="0"/>
              <w:jc w:val="center"/>
              <w:rPr>
                <w:sz w:val="22"/>
                <w:szCs w:val="22"/>
              </w:rPr>
            </w:pPr>
          </w:p>
        </w:tc>
        <w:tc>
          <w:tcPr>
            <w:tcW w:w="420" w:type="pct"/>
            <w:vAlign w:val="center"/>
          </w:tcPr>
          <w:p w:rsidR="001B05C9" w:rsidRPr="007032A4" w:rsidRDefault="001B05C9" w:rsidP="00467874">
            <w:pPr>
              <w:widowControl w:val="0"/>
              <w:autoSpaceDE w:val="0"/>
              <w:autoSpaceDN w:val="0"/>
              <w:adjustRightInd w:val="0"/>
              <w:jc w:val="center"/>
              <w:rPr>
                <w:sz w:val="22"/>
                <w:szCs w:val="22"/>
              </w:rPr>
            </w:pPr>
            <w:r w:rsidRPr="007032A4">
              <w:rPr>
                <w:sz w:val="22"/>
                <w:szCs w:val="22"/>
              </w:rPr>
              <w:t>12,7</w:t>
            </w:r>
          </w:p>
        </w:tc>
        <w:tc>
          <w:tcPr>
            <w:tcW w:w="420" w:type="pct"/>
            <w:vMerge/>
            <w:vAlign w:val="center"/>
          </w:tcPr>
          <w:p w:rsidR="001B05C9" w:rsidRPr="007032A4" w:rsidRDefault="001B05C9" w:rsidP="00467874">
            <w:pPr>
              <w:widowControl w:val="0"/>
              <w:autoSpaceDE w:val="0"/>
              <w:autoSpaceDN w:val="0"/>
              <w:adjustRightInd w:val="0"/>
              <w:jc w:val="center"/>
              <w:rPr>
                <w:sz w:val="22"/>
                <w:szCs w:val="22"/>
              </w:rPr>
            </w:pPr>
          </w:p>
        </w:tc>
        <w:tc>
          <w:tcPr>
            <w:tcW w:w="420" w:type="pct"/>
            <w:vMerge/>
            <w:vAlign w:val="center"/>
          </w:tcPr>
          <w:p w:rsidR="001B05C9" w:rsidRPr="007032A4" w:rsidRDefault="001B05C9" w:rsidP="00467874">
            <w:pPr>
              <w:widowControl w:val="0"/>
              <w:autoSpaceDE w:val="0"/>
              <w:autoSpaceDN w:val="0"/>
              <w:adjustRightInd w:val="0"/>
              <w:jc w:val="center"/>
              <w:rPr>
                <w:sz w:val="22"/>
                <w:szCs w:val="22"/>
              </w:rPr>
            </w:pPr>
          </w:p>
        </w:tc>
        <w:tc>
          <w:tcPr>
            <w:tcW w:w="419" w:type="pct"/>
            <w:vMerge/>
            <w:vAlign w:val="center"/>
          </w:tcPr>
          <w:p w:rsidR="001B05C9" w:rsidRPr="007032A4" w:rsidRDefault="001B05C9" w:rsidP="00467874">
            <w:pPr>
              <w:widowControl w:val="0"/>
              <w:autoSpaceDE w:val="0"/>
              <w:autoSpaceDN w:val="0"/>
              <w:adjustRightInd w:val="0"/>
              <w:jc w:val="center"/>
              <w:rPr>
                <w:sz w:val="22"/>
                <w:szCs w:val="22"/>
              </w:rPr>
            </w:pPr>
          </w:p>
        </w:tc>
      </w:tr>
      <w:tr w:rsidR="004D535D" w:rsidRPr="007032A4" w:rsidTr="006352D7">
        <w:tblPrEx>
          <w:tblLook w:val="04A0"/>
        </w:tblPrEx>
        <w:tc>
          <w:tcPr>
            <w:tcW w:w="226" w:type="pct"/>
            <w:vMerge w:val="restart"/>
          </w:tcPr>
          <w:p w:rsidR="004D535D" w:rsidRPr="007032A4" w:rsidRDefault="004D535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7</w:t>
            </w: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sz w:val="22"/>
                <w:szCs w:val="22"/>
              </w:rPr>
              <w:t>Спортивные залы, площадь пола</w:t>
            </w:r>
          </w:p>
        </w:tc>
        <w:tc>
          <w:tcPr>
            <w:tcW w:w="899" w:type="pct"/>
            <w:vMerge w:val="restart"/>
            <w:vAlign w:val="center"/>
          </w:tcPr>
          <w:p w:rsidR="004D535D" w:rsidRPr="007032A4" w:rsidRDefault="004D535D" w:rsidP="00B064D1">
            <w:pPr>
              <w:widowControl w:val="0"/>
              <w:autoSpaceDE w:val="0"/>
              <w:autoSpaceDN w:val="0"/>
              <w:adjustRightInd w:val="0"/>
              <w:jc w:val="center"/>
              <w:rPr>
                <w:sz w:val="22"/>
                <w:szCs w:val="22"/>
              </w:rPr>
            </w:pPr>
            <w:r w:rsidRPr="007032A4">
              <w:rPr>
                <w:sz w:val="22"/>
                <w:szCs w:val="22"/>
              </w:rPr>
              <w:t>процент от норматива</w:t>
            </w: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24,4</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26,0</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35,0</w:t>
            </w:r>
          </w:p>
        </w:tc>
        <w:tc>
          <w:tcPr>
            <w:tcW w:w="419"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50,0</w:t>
            </w:r>
          </w:p>
        </w:tc>
      </w:tr>
      <w:tr w:rsidR="004D535D" w:rsidRPr="007032A4" w:rsidTr="006352D7">
        <w:tblPrEx>
          <w:tblLook w:val="04A0"/>
        </w:tblPrEx>
        <w:tc>
          <w:tcPr>
            <w:tcW w:w="226" w:type="pct"/>
            <w:vMerge/>
          </w:tcPr>
          <w:p w:rsidR="004D535D" w:rsidRPr="007032A4" w:rsidRDefault="004D535D" w:rsidP="00B064D1">
            <w:pPr>
              <w:widowControl w:val="0"/>
              <w:autoSpaceDE w:val="0"/>
              <w:autoSpaceDN w:val="0"/>
              <w:adjustRightInd w:val="0"/>
              <w:jc w:val="center"/>
              <w:rPr>
                <w:sz w:val="22"/>
                <w:szCs w:val="22"/>
              </w:rPr>
            </w:pP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4D535D" w:rsidRPr="007032A4" w:rsidRDefault="004D535D" w:rsidP="00B064D1">
            <w:pPr>
              <w:widowControl w:val="0"/>
              <w:autoSpaceDE w:val="0"/>
              <w:autoSpaceDN w:val="0"/>
              <w:adjustRightInd w:val="0"/>
              <w:jc w:val="center"/>
              <w:rPr>
                <w:sz w:val="22"/>
                <w:szCs w:val="22"/>
              </w:rPr>
            </w:pP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27,9</w:t>
            </w:r>
          </w:p>
        </w:tc>
        <w:tc>
          <w:tcPr>
            <w:tcW w:w="420"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30,0</w:t>
            </w:r>
          </w:p>
        </w:tc>
        <w:tc>
          <w:tcPr>
            <w:tcW w:w="420"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40,0</w:t>
            </w:r>
          </w:p>
        </w:tc>
        <w:tc>
          <w:tcPr>
            <w:tcW w:w="419"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60,0</w:t>
            </w:r>
          </w:p>
        </w:tc>
      </w:tr>
      <w:tr w:rsidR="004D535D" w:rsidRPr="007032A4" w:rsidTr="006352D7">
        <w:tblPrEx>
          <w:tblLook w:val="04A0"/>
        </w:tblPrEx>
        <w:tc>
          <w:tcPr>
            <w:tcW w:w="226" w:type="pct"/>
            <w:vMerge w:val="restart"/>
          </w:tcPr>
          <w:p w:rsidR="004D535D" w:rsidRPr="007032A4" w:rsidRDefault="004D535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8</w:t>
            </w: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sz w:val="22"/>
                <w:szCs w:val="22"/>
              </w:rPr>
              <w:t xml:space="preserve">Плоскостные спортивные сооружения, </w:t>
            </w:r>
            <w:r w:rsidR="00D604F6" w:rsidRPr="007032A4">
              <w:rPr>
                <w:sz w:val="22"/>
                <w:szCs w:val="22"/>
              </w:rPr>
              <w:t>га</w:t>
            </w:r>
          </w:p>
        </w:tc>
        <w:tc>
          <w:tcPr>
            <w:tcW w:w="899" w:type="pct"/>
            <w:vMerge w:val="restart"/>
            <w:vAlign w:val="center"/>
          </w:tcPr>
          <w:p w:rsidR="004D535D" w:rsidRPr="007032A4" w:rsidRDefault="004D535D" w:rsidP="00B064D1">
            <w:pPr>
              <w:widowControl w:val="0"/>
              <w:autoSpaceDE w:val="0"/>
              <w:autoSpaceDN w:val="0"/>
              <w:adjustRightInd w:val="0"/>
              <w:jc w:val="center"/>
              <w:rPr>
                <w:sz w:val="22"/>
                <w:szCs w:val="22"/>
              </w:rPr>
            </w:pPr>
            <w:r w:rsidRPr="007032A4">
              <w:rPr>
                <w:sz w:val="22"/>
                <w:szCs w:val="22"/>
              </w:rPr>
              <w:t>процент от норматива</w:t>
            </w: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42,4</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45,0</w:t>
            </w:r>
          </w:p>
        </w:tc>
        <w:tc>
          <w:tcPr>
            <w:tcW w:w="420"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50,0</w:t>
            </w:r>
          </w:p>
        </w:tc>
        <w:tc>
          <w:tcPr>
            <w:tcW w:w="419" w:type="pct"/>
            <w:vAlign w:val="center"/>
          </w:tcPr>
          <w:p w:rsidR="004D535D" w:rsidRPr="007032A4" w:rsidRDefault="00C3147E" w:rsidP="00467874">
            <w:pPr>
              <w:widowControl w:val="0"/>
              <w:autoSpaceDE w:val="0"/>
              <w:autoSpaceDN w:val="0"/>
              <w:adjustRightInd w:val="0"/>
              <w:jc w:val="center"/>
              <w:rPr>
                <w:sz w:val="22"/>
                <w:szCs w:val="22"/>
              </w:rPr>
            </w:pPr>
            <w:r w:rsidRPr="007032A4">
              <w:rPr>
                <w:sz w:val="22"/>
                <w:szCs w:val="22"/>
              </w:rPr>
              <w:t>65,0</w:t>
            </w:r>
          </w:p>
        </w:tc>
      </w:tr>
      <w:tr w:rsidR="004D535D" w:rsidRPr="007032A4" w:rsidTr="006352D7">
        <w:tblPrEx>
          <w:tblLook w:val="04A0"/>
        </w:tblPrEx>
        <w:tc>
          <w:tcPr>
            <w:tcW w:w="226" w:type="pct"/>
            <w:vMerge/>
          </w:tcPr>
          <w:p w:rsidR="004D535D" w:rsidRPr="007032A4" w:rsidRDefault="004D535D" w:rsidP="00B064D1">
            <w:pPr>
              <w:widowControl w:val="0"/>
              <w:autoSpaceDE w:val="0"/>
              <w:autoSpaceDN w:val="0"/>
              <w:adjustRightInd w:val="0"/>
              <w:jc w:val="center"/>
              <w:rPr>
                <w:sz w:val="22"/>
                <w:szCs w:val="22"/>
              </w:rPr>
            </w:pPr>
          </w:p>
        </w:tc>
        <w:tc>
          <w:tcPr>
            <w:tcW w:w="1425" w:type="pct"/>
          </w:tcPr>
          <w:p w:rsidR="004D535D" w:rsidRPr="007032A4" w:rsidRDefault="004D535D" w:rsidP="00B064D1">
            <w:pPr>
              <w:widowControl w:val="0"/>
              <w:autoSpaceDE w:val="0"/>
              <w:autoSpaceDN w:val="0"/>
              <w:adjustRightInd w:val="0"/>
              <w:jc w:val="center"/>
              <w:rPr>
                <w:sz w:val="22"/>
                <w:szCs w:val="22"/>
              </w:rPr>
            </w:pPr>
            <w:r w:rsidRPr="007032A4">
              <w:rPr>
                <w:sz w:val="22"/>
                <w:szCs w:val="22"/>
              </w:rPr>
              <w:t>в том числе МО «Город Гатчина»</w:t>
            </w:r>
          </w:p>
        </w:tc>
        <w:tc>
          <w:tcPr>
            <w:tcW w:w="899" w:type="pct"/>
            <w:vMerge/>
            <w:vAlign w:val="center"/>
          </w:tcPr>
          <w:p w:rsidR="004D535D" w:rsidRPr="007032A4" w:rsidRDefault="004D535D" w:rsidP="00B064D1">
            <w:pPr>
              <w:widowControl w:val="0"/>
              <w:autoSpaceDE w:val="0"/>
              <w:autoSpaceDN w:val="0"/>
              <w:adjustRightInd w:val="0"/>
              <w:jc w:val="center"/>
              <w:rPr>
                <w:sz w:val="22"/>
                <w:szCs w:val="22"/>
              </w:rPr>
            </w:pPr>
          </w:p>
        </w:tc>
        <w:tc>
          <w:tcPr>
            <w:tcW w:w="351"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4D535D" w:rsidRPr="007032A4" w:rsidRDefault="004D535D" w:rsidP="00467874">
            <w:pPr>
              <w:widowControl w:val="0"/>
              <w:autoSpaceDE w:val="0"/>
              <w:autoSpaceDN w:val="0"/>
              <w:adjustRightInd w:val="0"/>
              <w:jc w:val="center"/>
              <w:rPr>
                <w:sz w:val="22"/>
                <w:szCs w:val="22"/>
              </w:rPr>
            </w:pPr>
          </w:p>
        </w:tc>
        <w:tc>
          <w:tcPr>
            <w:tcW w:w="420" w:type="pct"/>
            <w:vAlign w:val="center"/>
          </w:tcPr>
          <w:p w:rsidR="004D535D" w:rsidRPr="007032A4" w:rsidRDefault="004D535D" w:rsidP="00467874">
            <w:pPr>
              <w:widowControl w:val="0"/>
              <w:autoSpaceDE w:val="0"/>
              <w:autoSpaceDN w:val="0"/>
              <w:adjustRightInd w:val="0"/>
              <w:jc w:val="center"/>
              <w:rPr>
                <w:sz w:val="22"/>
                <w:szCs w:val="22"/>
              </w:rPr>
            </w:pPr>
            <w:r w:rsidRPr="007032A4">
              <w:rPr>
                <w:sz w:val="22"/>
                <w:szCs w:val="22"/>
              </w:rPr>
              <w:t>29,7</w:t>
            </w:r>
          </w:p>
        </w:tc>
        <w:tc>
          <w:tcPr>
            <w:tcW w:w="420"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30,0</w:t>
            </w:r>
          </w:p>
        </w:tc>
        <w:tc>
          <w:tcPr>
            <w:tcW w:w="420"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40,0</w:t>
            </w:r>
          </w:p>
        </w:tc>
        <w:tc>
          <w:tcPr>
            <w:tcW w:w="419" w:type="pct"/>
            <w:vAlign w:val="center"/>
          </w:tcPr>
          <w:p w:rsidR="004D535D" w:rsidRPr="007032A4" w:rsidRDefault="00041213" w:rsidP="00467874">
            <w:pPr>
              <w:widowControl w:val="0"/>
              <w:autoSpaceDE w:val="0"/>
              <w:autoSpaceDN w:val="0"/>
              <w:adjustRightInd w:val="0"/>
              <w:jc w:val="center"/>
              <w:rPr>
                <w:sz w:val="22"/>
                <w:szCs w:val="22"/>
              </w:rPr>
            </w:pPr>
            <w:r w:rsidRPr="007032A4">
              <w:rPr>
                <w:sz w:val="22"/>
                <w:szCs w:val="22"/>
              </w:rPr>
              <w:t>50,0</w:t>
            </w:r>
          </w:p>
        </w:tc>
      </w:tr>
      <w:tr w:rsidR="00AB56AF" w:rsidRPr="007032A4" w:rsidTr="006352D7">
        <w:tblPrEx>
          <w:tblLook w:val="04A0"/>
        </w:tblPrEx>
        <w:tc>
          <w:tcPr>
            <w:tcW w:w="226" w:type="pct"/>
          </w:tcPr>
          <w:p w:rsidR="00B064D1" w:rsidRPr="007032A4" w:rsidRDefault="004D535D" w:rsidP="00763855">
            <w:pPr>
              <w:widowControl w:val="0"/>
              <w:autoSpaceDE w:val="0"/>
              <w:autoSpaceDN w:val="0"/>
              <w:adjustRightInd w:val="0"/>
              <w:jc w:val="center"/>
              <w:rPr>
                <w:sz w:val="22"/>
                <w:szCs w:val="22"/>
              </w:rPr>
            </w:pPr>
            <w:r w:rsidRPr="007032A4">
              <w:rPr>
                <w:sz w:val="22"/>
                <w:szCs w:val="22"/>
              </w:rPr>
              <w:t>4.</w:t>
            </w:r>
            <w:r w:rsidR="00763855" w:rsidRPr="007032A4">
              <w:rPr>
                <w:sz w:val="22"/>
                <w:szCs w:val="22"/>
              </w:rPr>
              <w:t>9</w:t>
            </w:r>
          </w:p>
        </w:tc>
        <w:tc>
          <w:tcPr>
            <w:tcW w:w="1425" w:type="pct"/>
          </w:tcPr>
          <w:p w:rsidR="00B064D1" w:rsidRPr="007032A4" w:rsidRDefault="00B064D1" w:rsidP="00B064D1">
            <w:pPr>
              <w:widowControl w:val="0"/>
              <w:autoSpaceDE w:val="0"/>
              <w:autoSpaceDN w:val="0"/>
              <w:adjustRightInd w:val="0"/>
              <w:jc w:val="center"/>
              <w:rPr>
                <w:sz w:val="22"/>
                <w:szCs w:val="22"/>
              </w:rPr>
            </w:pPr>
            <w:r w:rsidRPr="007032A4">
              <w:rPr>
                <w:sz w:val="22"/>
                <w:szCs w:val="22"/>
              </w:rPr>
              <w:t xml:space="preserve">Соотношение средней </w:t>
            </w:r>
            <w:r w:rsidRPr="007032A4">
              <w:rPr>
                <w:b/>
                <w:sz w:val="22"/>
                <w:szCs w:val="22"/>
              </w:rPr>
              <w:t>заработной платы работников муниципальных учреждений</w:t>
            </w:r>
            <w:r w:rsidRPr="007032A4">
              <w:rPr>
                <w:sz w:val="22"/>
                <w:szCs w:val="22"/>
              </w:rPr>
              <w:t xml:space="preserve"> и средней заработной платы по Гатчинскому муниципальному району</w:t>
            </w:r>
          </w:p>
        </w:tc>
        <w:tc>
          <w:tcPr>
            <w:tcW w:w="899" w:type="pct"/>
            <w:vAlign w:val="center"/>
          </w:tcPr>
          <w:p w:rsidR="00B064D1" w:rsidRPr="007032A4" w:rsidRDefault="004D535D" w:rsidP="00B064D1">
            <w:pPr>
              <w:widowControl w:val="0"/>
              <w:autoSpaceDE w:val="0"/>
              <w:autoSpaceDN w:val="0"/>
              <w:adjustRightInd w:val="0"/>
              <w:jc w:val="center"/>
              <w:rPr>
                <w:sz w:val="22"/>
                <w:szCs w:val="22"/>
              </w:rPr>
            </w:pPr>
            <w:r w:rsidRPr="007032A4">
              <w:rPr>
                <w:sz w:val="22"/>
                <w:szCs w:val="22"/>
              </w:rPr>
              <w:t>процентов</w:t>
            </w:r>
          </w:p>
        </w:tc>
        <w:tc>
          <w:tcPr>
            <w:tcW w:w="351" w:type="pct"/>
            <w:shd w:val="clear" w:color="auto" w:fill="EEECE1" w:themeFill="background2"/>
            <w:vAlign w:val="center"/>
          </w:tcPr>
          <w:p w:rsidR="00B064D1" w:rsidRPr="007032A4" w:rsidRDefault="00B064D1" w:rsidP="00467874">
            <w:pPr>
              <w:widowControl w:val="0"/>
              <w:autoSpaceDE w:val="0"/>
              <w:autoSpaceDN w:val="0"/>
              <w:adjustRightInd w:val="0"/>
              <w:jc w:val="center"/>
              <w:rPr>
                <w:sz w:val="22"/>
                <w:szCs w:val="22"/>
              </w:rPr>
            </w:pPr>
          </w:p>
        </w:tc>
        <w:tc>
          <w:tcPr>
            <w:tcW w:w="420" w:type="pct"/>
            <w:shd w:val="clear" w:color="auto" w:fill="EEECE1" w:themeFill="background2"/>
            <w:vAlign w:val="center"/>
          </w:tcPr>
          <w:p w:rsidR="00B064D1" w:rsidRPr="007032A4" w:rsidRDefault="00B064D1" w:rsidP="00467874">
            <w:pPr>
              <w:widowControl w:val="0"/>
              <w:autoSpaceDE w:val="0"/>
              <w:autoSpaceDN w:val="0"/>
              <w:adjustRightInd w:val="0"/>
              <w:jc w:val="center"/>
              <w:rPr>
                <w:sz w:val="22"/>
                <w:szCs w:val="22"/>
              </w:rPr>
            </w:pPr>
          </w:p>
        </w:tc>
        <w:tc>
          <w:tcPr>
            <w:tcW w:w="420" w:type="pct"/>
            <w:vAlign w:val="center"/>
          </w:tcPr>
          <w:p w:rsidR="00B064D1" w:rsidRPr="007032A4" w:rsidRDefault="00B064D1" w:rsidP="00467874">
            <w:pPr>
              <w:widowControl w:val="0"/>
              <w:autoSpaceDE w:val="0"/>
              <w:autoSpaceDN w:val="0"/>
              <w:adjustRightInd w:val="0"/>
              <w:jc w:val="center"/>
              <w:rPr>
                <w:sz w:val="22"/>
                <w:szCs w:val="22"/>
              </w:rPr>
            </w:pPr>
          </w:p>
        </w:tc>
        <w:tc>
          <w:tcPr>
            <w:tcW w:w="420" w:type="pct"/>
            <w:vAlign w:val="center"/>
          </w:tcPr>
          <w:p w:rsidR="00B064D1" w:rsidRPr="007032A4" w:rsidRDefault="00B064D1" w:rsidP="00467874">
            <w:pPr>
              <w:widowControl w:val="0"/>
              <w:autoSpaceDE w:val="0"/>
              <w:autoSpaceDN w:val="0"/>
              <w:adjustRightInd w:val="0"/>
              <w:jc w:val="center"/>
              <w:rPr>
                <w:sz w:val="22"/>
                <w:szCs w:val="22"/>
              </w:rPr>
            </w:pPr>
          </w:p>
        </w:tc>
        <w:tc>
          <w:tcPr>
            <w:tcW w:w="420" w:type="pct"/>
            <w:vAlign w:val="center"/>
          </w:tcPr>
          <w:p w:rsidR="00B064D1" w:rsidRPr="007032A4" w:rsidRDefault="00B064D1" w:rsidP="00467874">
            <w:pPr>
              <w:widowControl w:val="0"/>
              <w:autoSpaceDE w:val="0"/>
              <w:autoSpaceDN w:val="0"/>
              <w:adjustRightInd w:val="0"/>
              <w:jc w:val="center"/>
              <w:rPr>
                <w:sz w:val="22"/>
                <w:szCs w:val="22"/>
              </w:rPr>
            </w:pPr>
          </w:p>
        </w:tc>
        <w:tc>
          <w:tcPr>
            <w:tcW w:w="419" w:type="pct"/>
            <w:vAlign w:val="center"/>
          </w:tcPr>
          <w:p w:rsidR="00B064D1" w:rsidRPr="007032A4" w:rsidRDefault="00B064D1" w:rsidP="00467874">
            <w:pPr>
              <w:widowControl w:val="0"/>
              <w:autoSpaceDE w:val="0"/>
              <w:autoSpaceDN w:val="0"/>
              <w:adjustRightInd w:val="0"/>
              <w:jc w:val="center"/>
              <w:rPr>
                <w:sz w:val="22"/>
                <w:szCs w:val="22"/>
              </w:rPr>
            </w:pPr>
          </w:p>
        </w:tc>
      </w:tr>
    </w:tbl>
    <w:p w:rsidR="00B064D1" w:rsidRPr="007032A4" w:rsidRDefault="00B064D1" w:rsidP="00EA4AA9">
      <w:pPr>
        <w:widowControl w:val="0"/>
        <w:autoSpaceDE w:val="0"/>
        <w:autoSpaceDN w:val="0"/>
        <w:adjustRightInd w:val="0"/>
        <w:jc w:val="center"/>
      </w:pPr>
    </w:p>
    <w:p w:rsidR="003E6266" w:rsidRPr="007032A4" w:rsidRDefault="003E6266" w:rsidP="00C134EB">
      <w:pPr>
        <w:jc w:val="both"/>
      </w:pPr>
    </w:p>
    <w:bookmarkEnd w:id="1"/>
    <w:bookmarkEnd w:id="2"/>
    <w:p w:rsidR="00A3143F" w:rsidRPr="007032A4" w:rsidRDefault="00A3143F" w:rsidP="00C134EB">
      <w:pPr>
        <w:jc w:val="both"/>
      </w:pPr>
    </w:p>
    <w:sectPr w:rsidR="00A3143F" w:rsidRPr="007032A4" w:rsidSect="002E1CCB">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F0" w:rsidRDefault="00CC41F0">
      <w:r>
        <w:separator/>
      </w:r>
    </w:p>
  </w:endnote>
  <w:endnote w:type="continuationSeparator" w:id="1">
    <w:p w:rsidR="00CC41F0" w:rsidRDefault="00CC4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19" w:rsidRPr="00F94DB6" w:rsidRDefault="00EF634C" w:rsidP="00AA62C9">
    <w:pPr>
      <w:pStyle w:val="afc"/>
    </w:pPr>
    <w:fldSimple w:instr="PAGE  ">
      <w:r w:rsidR="006820B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F0" w:rsidRDefault="00CC41F0">
      <w:r>
        <w:separator/>
      </w:r>
    </w:p>
  </w:footnote>
  <w:footnote w:type="continuationSeparator" w:id="1">
    <w:p w:rsidR="00CC41F0" w:rsidRDefault="00CC4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D2A81FBE"/>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0CB5"/>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7AD"/>
    <w:rsid w:val="001E0C72"/>
    <w:rsid w:val="001E0D6E"/>
    <w:rsid w:val="001E13E6"/>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8CA"/>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881"/>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2792"/>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880"/>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6CFF"/>
    <w:rsid w:val="003F73CE"/>
    <w:rsid w:val="003F7FE5"/>
    <w:rsid w:val="00400792"/>
    <w:rsid w:val="00401C18"/>
    <w:rsid w:val="00401DCC"/>
    <w:rsid w:val="004024B7"/>
    <w:rsid w:val="00402E19"/>
    <w:rsid w:val="00403D67"/>
    <w:rsid w:val="00404078"/>
    <w:rsid w:val="0040449A"/>
    <w:rsid w:val="0040487D"/>
    <w:rsid w:val="0040524C"/>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4D7F"/>
    <w:rsid w:val="005D65C8"/>
    <w:rsid w:val="005D663B"/>
    <w:rsid w:val="005D68D0"/>
    <w:rsid w:val="005D6CC4"/>
    <w:rsid w:val="005D71F9"/>
    <w:rsid w:val="005D7B81"/>
    <w:rsid w:val="005E1393"/>
    <w:rsid w:val="005E195E"/>
    <w:rsid w:val="005E25BA"/>
    <w:rsid w:val="005E5498"/>
    <w:rsid w:val="005E6FF3"/>
    <w:rsid w:val="005E7176"/>
    <w:rsid w:val="005E7C5D"/>
    <w:rsid w:val="005E7E91"/>
    <w:rsid w:val="005E7F64"/>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20BF"/>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1DB4"/>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3A53"/>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3688"/>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55A"/>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1F0"/>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6C2"/>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34C"/>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0CF1"/>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2015-12-11T10:39:00Z</cp:lastPrinted>
  <dcterms:created xsi:type="dcterms:W3CDTF">2017-03-23T12:10:00Z</dcterms:created>
  <dcterms:modified xsi:type="dcterms:W3CDTF">2017-03-23T12:16:00Z</dcterms:modified>
</cp:coreProperties>
</file>