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4E" w:rsidRDefault="00F01B4E" w:rsidP="00F01B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01B4E" w:rsidRDefault="00F01B4E" w:rsidP="00F01B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ГАТЧИНСКОГО МУНИЦИПАЛЬНОГО РАЙОНА </w:t>
      </w:r>
    </w:p>
    <w:p w:rsidR="00F01B4E" w:rsidRDefault="00F01B4E" w:rsidP="00F01B4E">
      <w:pPr>
        <w:pStyle w:val="2"/>
        <w:pBdr>
          <w:bottom w:val="double" w:sz="2" w:space="1" w:color="000000"/>
        </w:pBdr>
        <w:rPr>
          <w:sz w:val="16"/>
          <w:szCs w:val="16"/>
        </w:rPr>
      </w:pPr>
    </w:p>
    <w:p w:rsidR="00F01B4E" w:rsidRDefault="00F01B4E" w:rsidP="00F01B4E">
      <w:pPr>
        <w:jc w:val="right"/>
        <w:rPr>
          <w:rFonts w:ascii="Times New Roman" w:hAnsi="Times New Roman" w:cs="Times New Roman"/>
        </w:rPr>
      </w:pPr>
    </w:p>
    <w:p w:rsidR="00F01B4E" w:rsidRDefault="00F01B4E" w:rsidP="00F01B4E">
      <w:pPr>
        <w:pStyle w:val="2"/>
        <w:spacing w:before="360"/>
        <w:rPr>
          <w:i/>
        </w:rPr>
      </w:pPr>
      <w:r>
        <w:rPr>
          <w:i/>
        </w:rPr>
        <w:t>РЕШЕНИЕ</w:t>
      </w:r>
    </w:p>
    <w:p w:rsidR="00F01B4E" w:rsidRDefault="00F01B4E" w:rsidP="00F01B4E">
      <w:pPr>
        <w:rPr>
          <w:rFonts w:ascii="Times New Roman" w:hAnsi="Times New Roman" w:cs="Times New Roman"/>
          <w:sz w:val="28"/>
          <w:szCs w:val="28"/>
        </w:rPr>
      </w:pPr>
    </w:p>
    <w:p w:rsidR="00F01B4E" w:rsidRDefault="00F01B4E" w:rsidP="00F0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7300">
        <w:rPr>
          <w:rFonts w:ascii="Times New Roman" w:hAnsi="Times New Roman" w:cs="Times New Roman"/>
          <w:sz w:val="28"/>
          <w:szCs w:val="28"/>
        </w:rPr>
        <w:t>13</w:t>
      </w:r>
      <w:r w:rsidR="00C03F78">
        <w:rPr>
          <w:rFonts w:ascii="Times New Roman" w:hAnsi="Times New Roman" w:cs="Times New Roman"/>
          <w:sz w:val="28"/>
          <w:szCs w:val="28"/>
        </w:rPr>
        <w:t xml:space="preserve">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</w:t>
      </w:r>
      <w:r w:rsidR="00C03F78">
        <w:rPr>
          <w:rFonts w:ascii="Times New Roman" w:hAnsi="Times New Roman" w:cs="Times New Roman"/>
          <w:sz w:val="28"/>
          <w:szCs w:val="28"/>
        </w:rPr>
        <w:t>№ 108 / 1599</w:t>
      </w:r>
    </w:p>
    <w:p w:rsidR="00F01B4E" w:rsidRDefault="00F01B4E" w:rsidP="00F01B4E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Номенклатуру дел </w:t>
      </w:r>
      <w:r w:rsidR="00FB7300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Гатчинского муниципального района, утвержденную решением от 1</w:t>
      </w:r>
      <w:r w:rsidR="00C03F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F78">
        <w:rPr>
          <w:rFonts w:ascii="Times New Roman" w:hAnsi="Times New Roman" w:cs="Times New Roman"/>
          <w:sz w:val="28"/>
          <w:szCs w:val="28"/>
        </w:rPr>
        <w:t>декабря 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3F78">
        <w:rPr>
          <w:rFonts w:ascii="Times New Roman" w:hAnsi="Times New Roman" w:cs="Times New Roman"/>
          <w:sz w:val="28"/>
          <w:szCs w:val="28"/>
        </w:rPr>
        <w:t>141</w:t>
      </w:r>
    </w:p>
    <w:p w:rsidR="00F01B4E" w:rsidRDefault="00F01B4E" w:rsidP="00F01B4E">
      <w:pPr>
        <w:ind w:right="-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пунктов 10,11 статьи 70 Федерального закона от 12.06.2002 г. № 67-ФЗ «Об основных гарантиях избирательных прав и права на участие в референдуме граждан Российской Федерации», статьи </w:t>
      </w:r>
      <w:r w:rsidR="0092201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015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2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220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20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220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20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2015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922015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Федерального закона от 20.10.2004 г. № 125-ФЗ «Об архивном деле в Российской Федерации», территориальная избирательная комиссия Гатчинского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01B4E" w:rsidRDefault="00F01B4E" w:rsidP="00F01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Дополнить Номенклатуру дел территориальной избирательной комиссии Гатчинского муниципального района, утвержденную решением от </w:t>
      </w:r>
      <w:r w:rsidR="00922015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20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22015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разделом 09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по </w:t>
      </w:r>
      <w:r w:rsidR="00FB7300">
        <w:rPr>
          <w:rFonts w:ascii="Times New Roman" w:hAnsi="Times New Roman" w:cs="Times New Roman"/>
          <w:sz w:val="28"/>
          <w:szCs w:val="28"/>
        </w:rPr>
        <w:t>дополнительным выборам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</w:t>
      </w:r>
      <w:r w:rsidR="00FB7300">
        <w:rPr>
          <w:rFonts w:ascii="Times New Roman" w:hAnsi="Times New Roman" w:cs="Times New Roman"/>
          <w:sz w:val="28"/>
          <w:szCs w:val="28"/>
        </w:rPr>
        <w:t>Федерального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седьмого созыва 1</w:t>
      </w:r>
      <w:r w:rsidR="009220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220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00">
        <w:rPr>
          <w:rFonts w:ascii="Times New Roman" w:hAnsi="Times New Roman" w:cs="Times New Roman"/>
          <w:sz w:val="28"/>
          <w:szCs w:val="28"/>
        </w:rPr>
        <w:t>года» согласованную</w:t>
      </w:r>
      <w:r>
        <w:rPr>
          <w:rFonts w:ascii="Times New Roman" w:hAnsi="Times New Roman" w:cs="Times New Roman"/>
          <w:sz w:val="28"/>
          <w:szCs w:val="28"/>
        </w:rPr>
        <w:t xml:space="preserve"> Протоколом Экспертной комиссии при территориальной избирательной комиссии Гатчинского муниципального района от 20</w:t>
      </w:r>
      <w:r w:rsidR="00FB7300">
        <w:rPr>
          <w:rFonts w:ascii="Times New Roman" w:hAnsi="Times New Roman" w:cs="Times New Roman"/>
          <w:sz w:val="28"/>
          <w:szCs w:val="28"/>
        </w:rPr>
        <w:t>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20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B4E" w:rsidRDefault="00F01B4E" w:rsidP="00F01B4E">
      <w:pPr>
        <w:ind w:right="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Контроль исполнения решения возложить на председателя территориальной избирательной комиссии Гатчинского муниципального района.</w:t>
      </w:r>
    </w:p>
    <w:p w:rsidR="00F01B4E" w:rsidRDefault="00F01B4E" w:rsidP="00F01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В.Н.Козлова</w:t>
      </w:r>
    </w:p>
    <w:p w:rsidR="00F01B4E" w:rsidRDefault="00F01B4E" w:rsidP="00F01B4E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Г.В.Патрушева</w:t>
      </w:r>
      <w:bookmarkStart w:id="0" w:name="_GoBack"/>
      <w:bookmarkEnd w:id="0"/>
    </w:p>
    <w:p w:rsidR="00922015" w:rsidRDefault="00922015" w:rsidP="00F01B4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42"/>
        <w:gridCol w:w="6238"/>
      </w:tblGrid>
      <w:tr w:rsidR="00F01B4E" w:rsidTr="00F01B4E">
        <w:tc>
          <w:tcPr>
            <w:tcW w:w="4142" w:type="dxa"/>
          </w:tcPr>
          <w:p w:rsidR="00F01B4E" w:rsidRDefault="00F01B4E">
            <w:pPr>
              <w:pStyle w:val="2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F01B4E" w:rsidRDefault="00F01B4E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</w:tr>
      <w:tr w:rsidR="00F01B4E" w:rsidTr="00F01B4E">
        <w:tc>
          <w:tcPr>
            <w:tcW w:w="4142" w:type="dxa"/>
          </w:tcPr>
          <w:p w:rsidR="00F01B4E" w:rsidRDefault="00F01B4E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vMerge w:val="restart"/>
            <w:hideMark/>
          </w:tcPr>
          <w:p w:rsidR="00F01B4E" w:rsidRDefault="00F01B4E">
            <w:pPr>
              <w:pStyle w:val="21"/>
              <w:snapToGrid w:val="0"/>
              <w:spacing w:after="0" w:line="240" w:lineRule="auto"/>
              <w:ind w:left="72"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территориальной избирательной комиссии</w:t>
            </w:r>
          </w:p>
          <w:p w:rsidR="00F01B4E" w:rsidRDefault="00FB7300">
            <w:pPr>
              <w:pStyle w:val="21"/>
              <w:spacing w:after="0" w:line="240" w:lineRule="auto"/>
              <w:ind w:left="72"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Гатчинского муниципального</w:t>
            </w:r>
            <w:r w:rsidR="00F01B4E">
              <w:rPr>
                <w:sz w:val="28"/>
                <w:szCs w:val="28"/>
              </w:rPr>
              <w:t xml:space="preserve"> района </w:t>
            </w:r>
          </w:p>
          <w:p w:rsidR="00F01B4E" w:rsidRDefault="00F01B4E" w:rsidP="00FB7300">
            <w:pPr>
              <w:pStyle w:val="21"/>
              <w:spacing w:after="0" w:line="240" w:lineRule="auto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B7300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февраля 2017 г. № 108/1599</w:t>
            </w:r>
          </w:p>
        </w:tc>
      </w:tr>
      <w:tr w:rsidR="00F01B4E" w:rsidTr="00F01B4E">
        <w:tc>
          <w:tcPr>
            <w:tcW w:w="4142" w:type="dxa"/>
          </w:tcPr>
          <w:p w:rsidR="00F01B4E" w:rsidRDefault="00F01B4E">
            <w:pPr>
              <w:pStyle w:val="2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vMerge/>
            <w:vAlign w:val="center"/>
            <w:hideMark/>
          </w:tcPr>
          <w:p w:rsidR="00F01B4E" w:rsidRDefault="00F01B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1B4E" w:rsidTr="00F01B4E">
        <w:tc>
          <w:tcPr>
            <w:tcW w:w="4142" w:type="dxa"/>
          </w:tcPr>
          <w:p w:rsidR="00F01B4E" w:rsidRDefault="00F01B4E">
            <w:pPr>
              <w:pStyle w:val="21"/>
              <w:snapToGrid w:val="0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F01B4E" w:rsidRDefault="00F01B4E">
            <w:pPr>
              <w:pStyle w:val="21"/>
              <w:snapToGrid w:val="0"/>
              <w:spacing w:after="0" w:line="240" w:lineRule="auto"/>
              <w:ind w:left="74" w:right="181"/>
              <w:jc w:val="center"/>
              <w:rPr>
                <w:sz w:val="28"/>
                <w:szCs w:val="28"/>
              </w:rPr>
            </w:pPr>
          </w:p>
        </w:tc>
      </w:tr>
      <w:tr w:rsidR="00F01B4E" w:rsidTr="00F01B4E">
        <w:tc>
          <w:tcPr>
            <w:tcW w:w="4142" w:type="dxa"/>
          </w:tcPr>
          <w:p w:rsidR="00F01B4E" w:rsidRDefault="00F01B4E">
            <w:pPr>
              <w:pStyle w:val="21"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F01B4E" w:rsidRDefault="00F01B4E">
            <w:pPr>
              <w:pStyle w:val="21"/>
              <w:snapToGrid w:val="0"/>
              <w:spacing w:before="120"/>
              <w:ind w:left="74" w:right="181"/>
              <w:jc w:val="center"/>
              <w:rPr>
                <w:sz w:val="28"/>
                <w:szCs w:val="28"/>
              </w:rPr>
            </w:pPr>
          </w:p>
        </w:tc>
      </w:tr>
    </w:tbl>
    <w:p w:rsidR="00F01B4E" w:rsidRDefault="00F01B4E" w:rsidP="00F01B4E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01B4E" w:rsidRDefault="00F01B4E" w:rsidP="00F01B4E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01B4E" w:rsidRDefault="00F01B4E" w:rsidP="00F01B4E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01B4E" w:rsidRDefault="00F01B4E" w:rsidP="00F01B4E">
      <w:pPr>
        <w:ind w:left="-360" w:right="-3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в Номенклатуру дел</w:t>
      </w:r>
    </w:p>
    <w:p w:rsidR="00F01B4E" w:rsidRDefault="00F01B4E" w:rsidP="00F01B4E">
      <w:pPr>
        <w:pStyle w:val="6"/>
        <w:spacing w:before="0"/>
        <w:ind w:left="-357" w:right="-30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территориальной избирательной комиссии</w:t>
      </w:r>
    </w:p>
    <w:p w:rsidR="00F01B4E" w:rsidRDefault="00F01B4E" w:rsidP="00F01B4E">
      <w:pPr>
        <w:pStyle w:val="6"/>
        <w:spacing w:before="0"/>
        <w:ind w:left="-357" w:right="-30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Гатчинского муниципального района, </w:t>
      </w:r>
    </w:p>
    <w:p w:rsidR="00F01B4E" w:rsidRDefault="00F01B4E" w:rsidP="00F01B4E">
      <w:pPr>
        <w:pStyle w:val="6"/>
        <w:spacing w:before="0"/>
        <w:ind w:left="-357" w:right="-30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утвержденную решением от 12 декабря 2012 года № 141</w:t>
      </w:r>
    </w:p>
    <w:p w:rsidR="00F01B4E" w:rsidRDefault="00F01B4E" w:rsidP="00F01B4E">
      <w:pPr>
        <w:ind w:left="-357" w:right="-3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ConsNonformat"/>
        <w:widowControl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C03F78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FB7300">
        <w:rPr>
          <w:rFonts w:ascii="Times New Roman" w:hAnsi="Times New Roman"/>
          <w:bCs/>
          <w:sz w:val="28"/>
          <w:szCs w:val="28"/>
        </w:rPr>
        <w:t xml:space="preserve">на </w:t>
      </w:r>
      <w:r w:rsidR="00F953F9">
        <w:rPr>
          <w:rFonts w:ascii="Times New Roman" w:hAnsi="Times New Roman"/>
          <w:bCs/>
          <w:sz w:val="28"/>
          <w:szCs w:val="28"/>
        </w:rPr>
        <w:t>8</w:t>
      </w:r>
      <w:r w:rsidR="00FB7300">
        <w:rPr>
          <w:rFonts w:ascii="Times New Roman" w:hAnsi="Times New Roman"/>
          <w:bCs/>
          <w:sz w:val="28"/>
          <w:szCs w:val="28"/>
        </w:rPr>
        <w:t xml:space="preserve"> листах</w:t>
      </w:r>
    </w:p>
    <w:p w:rsidR="00F01B4E" w:rsidRDefault="00F01B4E" w:rsidP="00F01B4E">
      <w:pPr>
        <w:pStyle w:val="ConsNonformat"/>
        <w:widowControl/>
        <w:jc w:val="right"/>
        <w:rPr>
          <w:rFonts w:ascii="Times New Roman" w:hAnsi="Times New Roman"/>
          <w:bCs/>
          <w:sz w:val="28"/>
          <w:szCs w:val="28"/>
        </w:rPr>
      </w:pPr>
    </w:p>
    <w:p w:rsidR="00F01B4E" w:rsidRDefault="00F01B4E" w:rsidP="00F01B4E">
      <w:pPr>
        <w:pStyle w:val="2"/>
        <w:ind w:right="-261"/>
        <w:rPr>
          <w:b w:val="0"/>
          <w:i/>
        </w:rPr>
      </w:pPr>
    </w:p>
    <w:p w:rsidR="00F01B4E" w:rsidRDefault="00F01B4E" w:rsidP="00F01B4E">
      <w:pPr>
        <w:pStyle w:val="2"/>
        <w:ind w:right="-261"/>
        <w:rPr>
          <w:b w:val="0"/>
          <w:i/>
        </w:rPr>
      </w:pPr>
    </w:p>
    <w:p w:rsidR="00F01B4E" w:rsidRDefault="00F01B4E" w:rsidP="00F01B4E">
      <w:pPr>
        <w:pStyle w:val="2"/>
        <w:ind w:right="-261"/>
        <w:rPr>
          <w:b w:val="0"/>
        </w:rPr>
      </w:pPr>
      <w:r>
        <w:rPr>
          <w:b w:val="0"/>
        </w:rPr>
        <w:t>Оглавление</w:t>
      </w:r>
    </w:p>
    <w:p w:rsidR="00F01B4E" w:rsidRDefault="00F01B4E" w:rsidP="00F01B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  <w:gridCol w:w="1276"/>
      </w:tblGrid>
      <w:tr w:rsidR="00F01B4E" w:rsidTr="00F01B4E">
        <w:tc>
          <w:tcPr>
            <w:tcW w:w="8710" w:type="dxa"/>
            <w:hideMark/>
          </w:tcPr>
          <w:p w:rsidR="00F01B4E" w:rsidRDefault="00F01B4E" w:rsidP="00F01B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Документация по   дополнительным выборам депутатов Государственной Думы Федерального Собрания Российской Федерации седьмого созыва  10 сентября 2017 года</w:t>
            </w:r>
          </w:p>
        </w:tc>
        <w:tc>
          <w:tcPr>
            <w:tcW w:w="1275" w:type="dxa"/>
            <w:hideMark/>
          </w:tcPr>
          <w:p w:rsidR="00F01B4E" w:rsidRDefault="00F953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- 8</w:t>
            </w:r>
          </w:p>
        </w:tc>
      </w:tr>
    </w:tbl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01B4E" w:rsidRDefault="00F01B4E" w:rsidP="00F01B4E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"/>
        <w:gridCol w:w="901"/>
        <w:gridCol w:w="4680"/>
        <w:gridCol w:w="900"/>
        <w:gridCol w:w="1620"/>
        <w:gridCol w:w="1800"/>
      </w:tblGrid>
      <w:tr w:rsidR="00F01B4E" w:rsidTr="00F01B4E">
        <w:trPr>
          <w:trHeight w:val="196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</w:t>
            </w:r>
          </w:p>
          <w:p w:rsidR="00F01B4E" w:rsidRDefault="00F01B4E">
            <w:pPr>
              <w:pStyle w:val="ConsNonformat"/>
              <w:widowControl/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ind w:left="-108" w:right="-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Ин-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декс</w:t>
            </w:r>
            <w:proofErr w:type="spellEnd"/>
            <w:proofErr w:type="gramEnd"/>
          </w:p>
          <w:p w:rsidR="00F01B4E" w:rsidRDefault="00F01B4E">
            <w:pPr>
              <w:pStyle w:val="ConsNonformat"/>
              <w:widowControl/>
              <w:spacing w:line="276" w:lineRule="auto"/>
              <w:ind w:left="-108" w:right="-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дела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ind w:left="-162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Заголовок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  <w:p w:rsidR="00F01B4E" w:rsidRDefault="00F01B4E">
            <w:pPr>
              <w:pStyle w:val="Con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дел (томов, частей)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E" w:rsidRDefault="00F01B4E">
            <w:pPr>
              <w:pStyle w:val="ConsNonformat"/>
              <w:widowControl/>
              <w:spacing w:before="120" w:line="276" w:lineRule="auto"/>
              <w:ind w:left="-108" w:right="-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 хранения дела (тома, части), </w:t>
            </w:r>
          </w:p>
          <w:p w:rsidR="00F01B4E" w:rsidRDefault="00F01B4E">
            <w:pPr>
              <w:pStyle w:val="ConsNonformat"/>
              <w:widowControl/>
              <w:spacing w:line="276" w:lineRule="auto"/>
              <w:ind w:left="-108" w:right="-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статей </w:t>
            </w:r>
          </w:p>
          <w:p w:rsidR="00F01B4E" w:rsidRDefault="00F01B4E">
            <w:pPr>
              <w:pStyle w:val="ConsNonformat"/>
              <w:widowControl/>
              <w:spacing w:after="120" w:line="276" w:lineRule="auto"/>
              <w:ind w:left="-108" w:right="-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перечню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ind w:left="-10" w:right="-1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F01B4E" w:rsidRDefault="00F01B4E">
            <w:pPr>
              <w:pStyle w:val="ConsNonformat"/>
              <w:widowControl/>
              <w:spacing w:line="276" w:lineRule="auto"/>
              <w:ind w:left="-10" w:right="-1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proofErr w:type="spellEnd"/>
          </w:p>
        </w:tc>
      </w:tr>
      <w:tr w:rsidR="00F01B4E" w:rsidTr="00F01B4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01B4E" w:rsidTr="00F01B4E">
        <w:trPr>
          <w:cantSplit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ConsNonformat"/>
              <w:widowControl/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01B4E" w:rsidTr="00F01B4E">
        <w:trPr>
          <w:cantSplit/>
          <w:trHeight w:val="249"/>
        </w:trPr>
        <w:tc>
          <w:tcPr>
            <w:tcW w:w="106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before="120" w:after="120" w:line="276" w:lineRule="auto"/>
              <w:ind w:righ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1B4E" w:rsidTr="00F01B4E">
        <w:trPr>
          <w:cantSplit/>
          <w:trHeight w:val="70"/>
        </w:trPr>
        <w:tc>
          <w:tcPr>
            <w:tcW w:w="10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 w:rsidP="00F01B4E">
            <w:pPr>
              <w:pStyle w:val="22"/>
              <w:widowControl w:val="0"/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09 - Документация по дополнительным выборам депутатов Государственной Думы Федерального </w:t>
            </w:r>
            <w:r w:rsidR="00922015">
              <w:rPr>
                <w:b/>
                <w:sz w:val="28"/>
                <w:szCs w:val="28"/>
              </w:rPr>
              <w:t>Собрания Российской</w:t>
            </w:r>
            <w:r>
              <w:rPr>
                <w:b/>
                <w:sz w:val="28"/>
                <w:szCs w:val="28"/>
              </w:rPr>
              <w:t xml:space="preserve"> Федерации седьмого созыва</w:t>
            </w:r>
          </w:p>
          <w:p w:rsidR="00F01B4E" w:rsidRDefault="00F01B4E" w:rsidP="00F01B4E">
            <w:pPr>
              <w:pStyle w:val="22"/>
              <w:widowControl w:val="0"/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 сентября 2017 года.</w:t>
            </w:r>
          </w:p>
        </w:tc>
      </w:tr>
      <w:tr w:rsidR="00F01B4E" w:rsidTr="00F01B4E">
        <w:trPr>
          <w:cantSplit/>
          <w:trHeight w:val="2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 назначении членов территориальной избирательной комиссии с правом совещательного голоса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п.2.2 ПХ ИКЛО от 07.11.2006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Хранить на месте, </w:t>
            </w:r>
            <w:r w:rsidR="00FB7300">
              <w:rPr>
                <w:sz w:val="28"/>
                <w:szCs w:val="28"/>
              </w:rPr>
              <w:t>передаются в ар</w:t>
            </w:r>
            <w:r>
              <w:rPr>
                <w:sz w:val="28"/>
                <w:szCs w:val="28"/>
              </w:rPr>
              <w:t xml:space="preserve">хив админ. МО «ГМР» ЛО по истечении срока </w:t>
            </w:r>
            <w:r w:rsidR="00FB7300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ТИК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F01B4E" w:rsidTr="00F01B4E">
        <w:trPr>
          <w:cantSplit/>
          <w:trHeight w:val="2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участковых избирательных комиссий, решения и документы к ним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п.2.2 ПХ ИКЛО от 07.11.2006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Хранить на месте, </w:t>
            </w:r>
            <w:r w:rsidR="00FB7300">
              <w:rPr>
                <w:sz w:val="28"/>
                <w:szCs w:val="28"/>
              </w:rPr>
              <w:t>передаются в ар</w:t>
            </w:r>
            <w:r>
              <w:rPr>
                <w:sz w:val="28"/>
                <w:szCs w:val="28"/>
              </w:rPr>
              <w:t xml:space="preserve">хив админ. МО «ГМР» ЛО по истечении срока </w:t>
            </w:r>
            <w:r w:rsidR="00FB7300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ТИК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F01B4E" w:rsidTr="00F01B4E">
        <w:trPr>
          <w:cantSplit/>
          <w:trHeight w:val="1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ind w:left="181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отделением </w:t>
            </w:r>
            <w:r w:rsidR="00FB7300">
              <w:rPr>
                <w:sz w:val="28"/>
                <w:szCs w:val="28"/>
              </w:rPr>
              <w:t>Сберегательного</w:t>
            </w:r>
            <w:r>
              <w:rPr>
                <w:sz w:val="28"/>
                <w:szCs w:val="28"/>
              </w:rPr>
              <w:t xml:space="preserve"> Банка по вопросам </w:t>
            </w:r>
            <w:r w:rsidR="00FB7300">
              <w:rPr>
                <w:sz w:val="28"/>
                <w:szCs w:val="28"/>
              </w:rPr>
              <w:t>проведения выборов депутатов Государс</w:t>
            </w:r>
            <w:r>
              <w:rPr>
                <w:sz w:val="28"/>
                <w:szCs w:val="28"/>
              </w:rPr>
              <w:t xml:space="preserve">твенной Думы Федерального Собрания Российской Федерации. </w:t>
            </w:r>
          </w:p>
          <w:p w:rsidR="00F01B4E" w:rsidRDefault="00F01B4E">
            <w:pPr>
              <w:pStyle w:val="22"/>
              <w:widowControl w:val="0"/>
              <w:spacing w:line="276" w:lineRule="auto"/>
              <w:ind w:left="181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8"/>
                  <w:szCs w:val="28"/>
                </w:rPr>
                <w:t>5 л</w:t>
              </w:r>
            </w:smartTag>
            <w:r>
              <w:rPr>
                <w:sz w:val="28"/>
                <w:szCs w:val="28"/>
              </w:rPr>
              <w:t>. ЭПК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Хранить на месте, </w:t>
            </w:r>
            <w:r w:rsidR="00FB7300">
              <w:rPr>
                <w:sz w:val="28"/>
                <w:szCs w:val="28"/>
              </w:rPr>
              <w:t>передаются в ар</w:t>
            </w:r>
            <w:r>
              <w:rPr>
                <w:sz w:val="28"/>
                <w:szCs w:val="28"/>
              </w:rPr>
              <w:t xml:space="preserve">хив админ. МО «ГМР» ЛО по истечении срока </w:t>
            </w:r>
            <w:r w:rsidR="00FB7300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ТИК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F01B4E" w:rsidTr="00F01B4E">
        <w:trPr>
          <w:cantSplit/>
          <w:trHeight w:val="2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09-04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правоохранительными органами (прокуратурой, органами внутренних дел) по вопросам, касающимся нарушений, повлек-ших возбуждение уголовных дел и судебных разбирательств.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Передаются в архив админ. МО «ГМР» ЛО по истечении срока </w:t>
            </w:r>
            <w:r w:rsidR="00FB7300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ТИК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F01B4E" w:rsidTr="00F01B4E">
        <w:trPr>
          <w:cantSplit/>
          <w:trHeight w:val="2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09-05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с судебными органами по вопросам нарушений </w:t>
            </w:r>
            <w:r w:rsidR="00FB7300">
              <w:rPr>
                <w:sz w:val="28"/>
                <w:szCs w:val="28"/>
              </w:rPr>
              <w:t>избирательных</w:t>
            </w:r>
            <w:r>
              <w:rPr>
                <w:sz w:val="28"/>
                <w:szCs w:val="28"/>
              </w:rPr>
              <w:t xml:space="preserve"> прав граждан, повлекших возбуждение уголовных дел и судебных разбирательств. Копии судебных решений.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передаются в архив админ. МО «ГМР» ЛО по истечении срока </w:t>
            </w:r>
            <w:r w:rsidR="00FB7300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ТИК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F01B4E" w:rsidTr="00F01B4E">
        <w:trPr>
          <w:cantSplit/>
          <w:trHeight w:val="2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09-06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граждан (заявления, жалобы.); документы (справки, сведения, переписка) по их рассмотрению о нарушениях избирательного законодательства.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передаются в архив админ. МО «ГМР» ЛО по истечении срока </w:t>
            </w:r>
            <w:r w:rsidR="00FB7300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ТИК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rPr>
                <w:sz w:val="28"/>
                <w:szCs w:val="28"/>
              </w:rPr>
            </w:pPr>
          </w:p>
        </w:tc>
      </w:tr>
      <w:tr w:rsidR="00F01B4E" w:rsidTr="00F01B4E">
        <w:trPr>
          <w:cantSplit/>
          <w:trHeight w:val="6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Вторые экземпляры протокола ТИК об итогах голосования и приобщенный к нему второй экземпляр сводной таблицы об итогах голосования, включающие полные данные всех поступивших протоколов УИК об итогах </w:t>
            </w:r>
            <w:r w:rsidR="00FB7300">
              <w:rPr>
                <w:sz w:val="28"/>
                <w:szCs w:val="28"/>
              </w:rPr>
              <w:t>голосования</w:t>
            </w:r>
            <w:r>
              <w:rPr>
                <w:sz w:val="28"/>
                <w:szCs w:val="28"/>
              </w:rPr>
              <w:t>, заверенные копии особых мнений членов ТИК с правом решающего голоса, несогласных с п</w:t>
            </w:r>
            <w:r w:rsidR="00FB7300">
              <w:rPr>
                <w:sz w:val="28"/>
                <w:szCs w:val="28"/>
              </w:rPr>
              <w:t>ротоколами в целом или с отдельными их положениями, поступи</w:t>
            </w:r>
            <w:r>
              <w:rPr>
                <w:sz w:val="28"/>
                <w:szCs w:val="28"/>
              </w:rPr>
              <w:t xml:space="preserve">вших в ТИК в день голосования и до окончания подсчета голосов избирателей жалоб (заявлений) </w:t>
            </w:r>
            <w:r w:rsidR="00FB7300">
              <w:rPr>
                <w:sz w:val="28"/>
                <w:szCs w:val="28"/>
              </w:rPr>
              <w:t>на нарушения ФЗ «О выборах депу</w:t>
            </w:r>
            <w:r>
              <w:rPr>
                <w:sz w:val="28"/>
                <w:szCs w:val="28"/>
              </w:rPr>
              <w:t xml:space="preserve">татов Государственной Думы Федерального Собрания Россий-ской Федерации», и принятых по ним решений ТИК.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B4E" w:rsidRDefault="00F01B4E">
            <w:pPr>
              <w:pStyle w:val="22"/>
              <w:widowControl w:val="0"/>
              <w:spacing w:line="276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8"/>
                  <w:szCs w:val="28"/>
                </w:rPr>
                <w:t>5 л</w:t>
              </w:r>
            </w:smartTag>
            <w:r>
              <w:rPr>
                <w:sz w:val="28"/>
                <w:szCs w:val="28"/>
              </w:rPr>
              <w:t>.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9 ПХ ЦИК России </w:t>
            </w:r>
          </w:p>
          <w:p w:rsidR="00F01B4E" w:rsidRDefault="00F01B4E" w:rsidP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 (архивный фонд  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экземпляр направляется в ИКЛО</w:t>
            </w:r>
          </w:p>
        </w:tc>
      </w:tr>
    </w:tbl>
    <w:p w:rsidR="00F01B4E" w:rsidRDefault="00F01B4E" w:rsidP="00F01B4E">
      <w:pPr>
        <w:spacing w:after="0"/>
        <w:rPr>
          <w:sz w:val="28"/>
          <w:szCs w:val="28"/>
        </w:rPr>
        <w:sectPr w:rsidR="00F01B4E">
          <w:pgSz w:w="12240" w:h="15840"/>
          <w:pgMar w:top="1258" w:right="850" w:bottom="719" w:left="1701" w:header="720" w:footer="720" w:gutter="0"/>
          <w:cols w:space="720"/>
        </w:sect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11"/>
        <w:gridCol w:w="4680"/>
        <w:gridCol w:w="900"/>
        <w:gridCol w:w="1620"/>
        <w:gridCol w:w="1800"/>
      </w:tblGrid>
      <w:tr w:rsidR="00F01B4E" w:rsidTr="00F01B4E">
        <w:trPr>
          <w:cantSplit/>
          <w:trHeight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Вторые экземпляры актов о </w:t>
            </w:r>
            <w:r w:rsidR="00FB7300">
              <w:rPr>
                <w:sz w:val="28"/>
                <w:szCs w:val="28"/>
              </w:rPr>
              <w:t>получении ТИК избирательных бюл</w:t>
            </w:r>
            <w:r>
              <w:rPr>
                <w:sz w:val="28"/>
                <w:szCs w:val="28"/>
              </w:rPr>
              <w:t>летеней</w:t>
            </w:r>
            <w:r w:rsidR="00FB7300">
              <w:rPr>
                <w:sz w:val="28"/>
                <w:szCs w:val="28"/>
              </w:rPr>
              <w:t>, передаче их в УИК, погашении неиспользованных избира</w:t>
            </w:r>
            <w:r>
              <w:rPr>
                <w:sz w:val="28"/>
                <w:szCs w:val="28"/>
              </w:rPr>
              <w:t>тельных бюллетеней, хранившихся в ТИК, вторые экземпляры актов о</w:t>
            </w:r>
            <w:r w:rsidR="00FB7300">
              <w:rPr>
                <w:sz w:val="28"/>
                <w:szCs w:val="28"/>
              </w:rPr>
              <w:t xml:space="preserve"> выдаче ТИК избирателям открепи</w:t>
            </w:r>
            <w:r>
              <w:rPr>
                <w:sz w:val="28"/>
                <w:szCs w:val="28"/>
              </w:rPr>
              <w:t xml:space="preserve">тельных удостоверений, передаче открепительных удостоверений участковым избирательным </w:t>
            </w:r>
            <w:r w:rsidR="00FB7300">
              <w:rPr>
                <w:sz w:val="28"/>
                <w:szCs w:val="28"/>
              </w:rPr>
              <w:t>комиссиям</w:t>
            </w:r>
            <w:r>
              <w:rPr>
                <w:sz w:val="28"/>
                <w:szCs w:val="28"/>
              </w:rPr>
              <w:t>, погаше</w:t>
            </w:r>
            <w:r w:rsidR="00FB7300">
              <w:rPr>
                <w:sz w:val="28"/>
                <w:szCs w:val="28"/>
              </w:rPr>
              <w:t>нии неиспользованных открепительных удостовере</w:t>
            </w:r>
            <w:r>
              <w:rPr>
                <w:sz w:val="28"/>
                <w:szCs w:val="28"/>
              </w:rPr>
              <w:t xml:space="preserve">ний; подлинники и копии других актов и реестров, хранящихся в ТИК. </w:t>
            </w:r>
          </w:p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8"/>
                  <w:szCs w:val="28"/>
                </w:rPr>
                <w:t>5 л</w:t>
              </w:r>
            </w:smartTag>
            <w:r>
              <w:rPr>
                <w:sz w:val="28"/>
                <w:szCs w:val="28"/>
              </w:rPr>
              <w:t>.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9 ПХ ЦИК России </w:t>
            </w:r>
          </w:p>
          <w:p w:rsidR="00F01B4E" w:rsidRDefault="00F01B4E" w:rsidP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</w:p>
          <w:p w:rsidR="00F01B4E" w:rsidRDefault="00F01B4E" w:rsidP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 </w:t>
            </w:r>
            <w:proofErr w:type="spellStart"/>
            <w:r>
              <w:rPr>
                <w:sz w:val="28"/>
                <w:szCs w:val="28"/>
              </w:rPr>
              <w:t>уничтоже-ние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экземпляр направляется в ИКЛО</w:t>
            </w:r>
          </w:p>
        </w:tc>
      </w:tr>
      <w:tr w:rsidR="00F01B4E" w:rsidTr="00F01B4E">
        <w:trPr>
          <w:cantSplit/>
          <w:trHeight w:val="4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Вторые экземпляры протоколов УИК об итогах голосования с </w:t>
            </w:r>
            <w:r w:rsidR="00F953F9">
              <w:rPr>
                <w:sz w:val="28"/>
                <w:szCs w:val="28"/>
              </w:rPr>
              <w:t>приобщенными</w:t>
            </w:r>
            <w:r>
              <w:rPr>
                <w:sz w:val="28"/>
                <w:szCs w:val="28"/>
              </w:rPr>
              <w:t xml:space="preserve"> к ним заверенными копиями особых мнений членов УИК с правом решающего голоса, поступивших в комиссию в день голосования и до окончания </w:t>
            </w:r>
            <w:r w:rsidR="00F953F9">
              <w:rPr>
                <w:sz w:val="28"/>
                <w:szCs w:val="28"/>
              </w:rPr>
              <w:t>подсчета</w:t>
            </w:r>
            <w:r>
              <w:rPr>
                <w:sz w:val="28"/>
                <w:szCs w:val="28"/>
              </w:rPr>
              <w:t xml:space="preserve"> голосов избирателей жалоб (заявлений) на нарушения ФЗ «О</w:t>
            </w:r>
            <w:r w:rsidR="00F953F9">
              <w:rPr>
                <w:sz w:val="28"/>
                <w:szCs w:val="28"/>
              </w:rPr>
              <w:t xml:space="preserve"> выборах депутатов Государствен</w:t>
            </w:r>
            <w:r>
              <w:rPr>
                <w:sz w:val="28"/>
                <w:szCs w:val="28"/>
              </w:rPr>
              <w:t xml:space="preserve">ной Думы Федерального Собрания Российской Федерации», а также принятых по указанным жалобам (заявлениям) решений УИК. </w:t>
            </w:r>
          </w:p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8"/>
                  <w:szCs w:val="28"/>
                </w:rPr>
                <w:t>5 л</w:t>
              </w:r>
            </w:smartTag>
            <w:r>
              <w:rPr>
                <w:sz w:val="28"/>
                <w:szCs w:val="28"/>
              </w:rPr>
              <w:t>.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9 ПХ ЦИК России от 01.06.2011 №13/148-6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 (архивн</w:t>
            </w:r>
            <w:r w:rsidR="00C03F78">
              <w:rPr>
                <w:sz w:val="28"/>
                <w:szCs w:val="28"/>
              </w:rPr>
              <w:t xml:space="preserve">ый фонд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экземпляр </w:t>
            </w:r>
            <w:r w:rsidR="00F953F9">
              <w:rPr>
                <w:sz w:val="28"/>
                <w:szCs w:val="28"/>
              </w:rPr>
              <w:t>направляется</w:t>
            </w:r>
            <w:r>
              <w:rPr>
                <w:sz w:val="28"/>
                <w:szCs w:val="28"/>
              </w:rPr>
              <w:t xml:space="preserve"> в ИКЛО</w:t>
            </w:r>
          </w:p>
        </w:tc>
      </w:tr>
      <w:tr w:rsidR="00F01B4E" w:rsidTr="00F01B4E">
        <w:trPr>
          <w:cantSplit/>
          <w:trHeight w:val="3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составленных участковыми избирательными комиссиями актов и реестров, приложенные ко вторым экземплярам протоколов об итогах голосования.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8"/>
                  <w:szCs w:val="28"/>
                </w:rPr>
                <w:t>5 л</w:t>
              </w:r>
            </w:smartTag>
            <w:r>
              <w:rPr>
                <w:sz w:val="28"/>
                <w:szCs w:val="28"/>
              </w:rPr>
              <w:t>.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9 ПХ ЦИК России </w:t>
            </w:r>
          </w:p>
          <w:p w:rsidR="00C03F78" w:rsidRDefault="00F01B4E" w:rsidP="00C03F78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 </w:t>
            </w:r>
          </w:p>
          <w:p w:rsidR="00F01B4E" w:rsidRDefault="00F01B4E" w:rsidP="00C03F78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03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уничтоже-ние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Уничтожаются по акту по истечении срока полно-мочий ТИК</w:t>
            </w:r>
          </w:p>
        </w:tc>
      </w:tr>
    </w:tbl>
    <w:p w:rsidR="00F01B4E" w:rsidRDefault="00F01B4E" w:rsidP="00F01B4E">
      <w:pPr>
        <w:spacing w:after="0"/>
        <w:rPr>
          <w:rFonts w:ascii="Times New Roman" w:hAnsi="Times New Roman" w:cs="Times New Roman"/>
          <w:sz w:val="28"/>
          <w:szCs w:val="28"/>
        </w:rPr>
        <w:sectPr w:rsidR="00F01B4E">
          <w:pgSz w:w="12240" w:h="15840"/>
          <w:pgMar w:top="1258" w:right="850" w:bottom="719" w:left="1701" w:header="720" w:footer="720" w:gutter="0"/>
          <w:cols w:space="720"/>
        </w:sectPr>
      </w:pPr>
    </w:p>
    <w:tbl>
      <w:tblPr>
        <w:tblW w:w="111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4678"/>
        <w:gridCol w:w="708"/>
        <w:gridCol w:w="1560"/>
        <w:gridCol w:w="2473"/>
      </w:tblGrid>
      <w:tr w:rsidR="00F01B4E" w:rsidTr="00C03F78">
        <w:trPr>
          <w:cantSplit/>
          <w:trHeight w:val="3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отчетов территориальной избирательной комиссии и </w:t>
            </w:r>
            <w:r w:rsidR="00F953F9">
              <w:rPr>
                <w:sz w:val="28"/>
                <w:szCs w:val="28"/>
              </w:rPr>
              <w:t>участковых</w:t>
            </w:r>
            <w:r>
              <w:rPr>
                <w:sz w:val="28"/>
                <w:szCs w:val="28"/>
              </w:rPr>
              <w:t xml:space="preserve"> избирательных комиссий о поступлении средств, выделенных из федерального бюджета на подготовку и выборов депутатов ГД ФС РФ и расходовании этих средств.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8"/>
                  <w:szCs w:val="28"/>
                </w:rPr>
                <w:t>5 л</w:t>
              </w:r>
            </w:smartTag>
            <w:r>
              <w:rPr>
                <w:sz w:val="28"/>
                <w:szCs w:val="28"/>
              </w:rPr>
              <w:t>.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9 ПХ ЦИК России 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 (архивный фонд или </w:t>
            </w:r>
            <w:proofErr w:type="spellStart"/>
            <w:r>
              <w:rPr>
                <w:sz w:val="28"/>
                <w:szCs w:val="28"/>
              </w:rPr>
              <w:t>уничтоже-ние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 направляется</w:t>
            </w:r>
          </w:p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ИКЛО</w:t>
            </w:r>
          </w:p>
        </w:tc>
      </w:tr>
      <w:tr w:rsidR="00F01B4E" w:rsidTr="00C03F78">
        <w:trPr>
          <w:cantSplit/>
          <w:trHeight w:val="5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Опечатанные избирательные бюл-летени, опечатанные открепитель-ные удостоверения, списки избира-телей вместе со всеми офици-альными документами уполномо-ченных органов, а также личными письменными заявлениями граж-дан, поступившими в УИК в пери-од уточнения списков избирателей, заявлениями о выдаче открепитель-ных удостоверений; заявления (обращения) избирателей о предо-ставлении возможности проголо-совать вне помещения для голосо-вания, доверенностями на получе-ние открепительных удостове-рений.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года со дня </w:t>
            </w:r>
            <w:r w:rsidR="00F953F9">
              <w:rPr>
                <w:sz w:val="28"/>
                <w:szCs w:val="28"/>
              </w:rPr>
              <w:t>опубликования</w:t>
            </w:r>
            <w:r>
              <w:rPr>
                <w:sz w:val="28"/>
                <w:szCs w:val="28"/>
              </w:rPr>
              <w:t xml:space="preserve"> итогов голосования и </w:t>
            </w:r>
            <w:r w:rsidR="00F953F9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выборов п. 10 ст.70 № 67-ФЗ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П.10 ПХ ЦИК РФ от 01.06.2011 №13/148-6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Уничтожают</w:t>
            </w:r>
            <w:r w:rsidR="00F01B4E">
              <w:rPr>
                <w:sz w:val="28"/>
                <w:szCs w:val="28"/>
              </w:rPr>
              <w:t>ся</w:t>
            </w:r>
          </w:p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акту</w:t>
            </w:r>
          </w:p>
        </w:tc>
      </w:tr>
      <w:tr w:rsidR="00F01B4E" w:rsidTr="00C03F78">
        <w:trPr>
          <w:cantSplit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ind w:left="180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Опечатанные неиспользованные специальные знаки (марки), находящиеся в ТИК, а также листы (часть листа) от использованных марок, переданные участковыми избирательными комиссиями, и акты о порче марок.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E" w:rsidRDefault="00F01B4E">
            <w:pPr>
              <w:pStyle w:val="22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года со дня </w:t>
            </w:r>
            <w:r w:rsidR="00F953F9">
              <w:rPr>
                <w:sz w:val="28"/>
                <w:szCs w:val="28"/>
              </w:rPr>
              <w:t>опубликования</w:t>
            </w:r>
            <w:r>
              <w:rPr>
                <w:sz w:val="28"/>
                <w:szCs w:val="28"/>
              </w:rPr>
              <w:t xml:space="preserve"> итогов голосования и </w:t>
            </w:r>
            <w:r w:rsidR="00F953F9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выборов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 ПХ ЦИК РФ от 01.06.2011 №13/148-6</w:t>
            </w:r>
          </w:p>
          <w:p w:rsidR="00F01B4E" w:rsidRDefault="00F01B4E">
            <w:pPr>
              <w:pStyle w:val="22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78" w:rsidRDefault="00F953F9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Уничтожаются</w:t>
            </w:r>
          </w:p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акту.</w:t>
            </w:r>
          </w:p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  <w:r w:rsidR="00F01B4E">
              <w:rPr>
                <w:sz w:val="28"/>
                <w:szCs w:val="28"/>
              </w:rPr>
              <w:t>смотрения</w:t>
            </w:r>
          </w:p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суде </w:t>
            </w:r>
          </w:p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жалобы </w:t>
            </w:r>
          </w:p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</w:t>
            </w:r>
            <w:r w:rsidR="00F01B4E">
              <w:rPr>
                <w:sz w:val="28"/>
                <w:szCs w:val="28"/>
              </w:rPr>
              <w:t xml:space="preserve">ния </w:t>
            </w:r>
          </w:p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марок продлеваются </w:t>
            </w:r>
          </w:p>
          <w:p w:rsidR="00C03F78" w:rsidRDefault="00F953F9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вступ</w:t>
            </w:r>
            <w:r w:rsidR="00F01B4E">
              <w:rPr>
                <w:sz w:val="28"/>
                <w:szCs w:val="28"/>
              </w:rPr>
              <w:t xml:space="preserve">ления 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</w:t>
            </w:r>
            <w:r w:rsidR="00F01B4E">
              <w:rPr>
                <w:sz w:val="28"/>
                <w:szCs w:val="28"/>
              </w:rPr>
              <w:t xml:space="preserve">конную </w:t>
            </w:r>
          </w:p>
          <w:p w:rsidR="00C03F78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силу решения </w:t>
            </w:r>
          </w:p>
          <w:p w:rsidR="00C03F78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 w:rsidR="00F01B4E">
              <w:rPr>
                <w:sz w:val="28"/>
                <w:szCs w:val="28"/>
              </w:rPr>
              <w:t xml:space="preserve">да, либо </w:t>
            </w:r>
          </w:p>
          <w:p w:rsidR="00F953F9" w:rsidRDefault="00C03F78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F953F9">
              <w:rPr>
                <w:sz w:val="28"/>
                <w:szCs w:val="28"/>
              </w:rPr>
              <w:t xml:space="preserve"> </w:t>
            </w:r>
          </w:p>
          <w:p w:rsidR="00F01B4E" w:rsidRDefault="00F01B4E">
            <w:pPr>
              <w:pStyle w:val="22"/>
              <w:widowControl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прекращения уголовного дела</w:t>
            </w:r>
          </w:p>
        </w:tc>
      </w:tr>
      <w:tr w:rsidR="00F01B4E" w:rsidTr="00C03F78">
        <w:trPr>
          <w:cantSplit/>
          <w:trHeight w:val="70"/>
        </w:trPr>
        <w:tc>
          <w:tcPr>
            <w:tcW w:w="11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B4E" w:rsidRDefault="00F01B4E">
            <w:pPr>
              <w:pStyle w:val="22"/>
              <w:widowControl w:val="0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665A6" w:rsidRDefault="001665A6"/>
    <w:sectPr w:rsidR="0016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18"/>
    <w:rsid w:val="001665A6"/>
    <w:rsid w:val="00800418"/>
    <w:rsid w:val="00922015"/>
    <w:rsid w:val="00C03F78"/>
    <w:rsid w:val="00F01B4E"/>
    <w:rsid w:val="00F953F9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3DAB8"/>
  <w15:chartTrackingRefBased/>
  <w15:docId w15:val="{C702F83C-7893-4BFC-B5DF-B1ABD5DA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4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B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B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B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B4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customStyle="1" w:styleId="21">
    <w:name w:val="Основной текст с отступом 21"/>
    <w:basedOn w:val="a"/>
    <w:rsid w:val="00F01B4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F01B4E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2">
    <w:name w:val="Обычный2"/>
    <w:rsid w:val="00F01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2017-02-07T12:28:00Z</dcterms:created>
  <dcterms:modified xsi:type="dcterms:W3CDTF">2017-02-09T05:30:00Z</dcterms:modified>
</cp:coreProperties>
</file>